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C77A9" w14:textId="0690B617" w:rsidR="0215183A" w:rsidRDefault="0215183A" w:rsidP="0866ED51">
      <w:pPr>
        <w:jc w:val="center"/>
      </w:pPr>
      <w:r>
        <w:rPr>
          <w:noProof/>
        </w:rPr>
        <w:drawing>
          <wp:inline distT="0" distB="0" distL="0" distR="0" wp14:anchorId="66CFAE79" wp14:editId="542E9E5F">
            <wp:extent cx="2204618" cy="1504188"/>
            <wp:effectExtent l="0" t="0" r="0" b="0"/>
            <wp:docPr id="2129371380" name="Picture 212937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4618" cy="1504188"/>
                    </a:xfrm>
                    <a:prstGeom prst="rect">
                      <a:avLst/>
                    </a:prstGeom>
                  </pic:spPr>
                </pic:pic>
              </a:graphicData>
            </a:graphic>
          </wp:inline>
        </w:drawing>
      </w:r>
    </w:p>
    <w:p w14:paraId="41D2E9B8" w14:textId="4E9ECB47" w:rsidR="5CD7CC0E" w:rsidRDefault="5CD7CC0E" w:rsidP="6BE1C597">
      <w:pPr>
        <w:jc w:val="center"/>
        <w:rPr>
          <w:b/>
          <w:bCs/>
        </w:rPr>
      </w:pPr>
      <w:r w:rsidRPr="6BE1C597">
        <w:rPr>
          <w:b/>
          <w:bCs/>
        </w:rPr>
        <w:t>Foothills Rural Planning Organization</w:t>
      </w:r>
    </w:p>
    <w:p w14:paraId="32C2E12E" w14:textId="129FBFF0" w:rsidR="5A5930A7" w:rsidRDefault="5A5930A7" w:rsidP="0866ED51">
      <w:pPr>
        <w:jc w:val="center"/>
        <w:rPr>
          <w:b/>
          <w:bCs/>
        </w:rPr>
      </w:pPr>
      <w:r w:rsidRPr="0866ED51">
        <w:rPr>
          <w:b/>
          <w:bCs/>
        </w:rPr>
        <w:t xml:space="preserve">Prioritization </w:t>
      </w:r>
      <w:r w:rsidR="006E6EAA">
        <w:rPr>
          <w:b/>
          <w:bCs/>
        </w:rPr>
        <w:t>8</w:t>
      </w:r>
      <w:r w:rsidRPr="0866ED51">
        <w:rPr>
          <w:b/>
          <w:bCs/>
        </w:rPr>
        <w:t>.0</w:t>
      </w:r>
      <w:r w:rsidR="4E57F95A" w:rsidRPr="0866ED51">
        <w:rPr>
          <w:b/>
          <w:bCs/>
        </w:rPr>
        <w:t xml:space="preserve"> - Draft</w:t>
      </w:r>
      <w:r w:rsidR="7EE3D62E" w:rsidRPr="0866ED51">
        <w:rPr>
          <w:b/>
          <w:bCs/>
        </w:rPr>
        <w:t xml:space="preserve"> </w:t>
      </w:r>
      <w:r w:rsidRPr="0866ED51">
        <w:rPr>
          <w:b/>
          <w:bCs/>
        </w:rPr>
        <w:t xml:space="preserve">Local Input Point </w:t>
      </w:r>
      <w:r w:rsidR="35D3CEDE" w:rsidRPr="0866ED51">
        <w:rPr>
          <w:b/>
          <w:bCs/>
        </w:rPr>
        <w:t>Methodology</w:t>
      </w:r>
    </w:p>
    <w:p w14:paraId="0E7F6B54" w14:textId="7F006F08" w:rsidR="0866ED51" w:rsidRDefault="0866ED51" w:rsidP="0866ED51"/>
    <w:p w14:paraId="0EA1A85C" w14:textId="627113BD" w:rsidR="5A5930A7" w:rsidRDefault="5A5930A7" w:rsidP="0866ED51">
      <w:r w:rsidRPr="0866ED51">
        <w:rPr>
          <w:b/>
          <w:bCs/>
          <w:u w:val="single"/>
        </w:rPr>
        <w:t>Introduction</w:t>
      </w:r>
    </w:p>
    <w:p w14:paraId="65613785" w14:textId="0CBD98C0" w:rsidR="5A5930A7" w:rsidRDefault="5A5930A7" w:rsidP="0866ED51">
      <w:r>
        <w:t xml:space="preserve">The North Carolina legislature and NC Department of Transportation require all rural and metropolitan planning organizations (RPOs and MPOs) to develop a </w:t>
      </w:r>
      <w:r w:rsidR="0B7FFB3D">
        <w:t>local ranking</w:t>
      </w:r>
      <w:r>
        <w:t xml:space="preserve"> process for projects across all modes of transportation (highway, bicycle/pe</w:t>
      </w:r>
      <w:r w:rsidR="54E5950F">
        <w:t>destrian, public transit, aviation, rail, and ferry). The following process will be submitted for approval to the NCDOT’s Strategic Prioritization Office of Transportation (SPOT), be made available to the public for their comment and f</w:t>
      </w:r>
      <w:r w:rsidR="3A9E9E0C">
        <w:t xml:space="preserve">inally, adopted by the Foothills RPO’s Transportation Advisory Committee (TAC), to ensure compliance with the legislative mandate. </w:t>
      </w:r>
    </w:p>
    <w:p w14:paraId="5E9301DD" w14:textId="779969E5" w:rsidR="3A9E9E0C" w:rsidRDefault="3A9E9E0C" w:rsidP="0866ED51">
      <w:r>
        <w:t>As stipulated by the STI Legislation, local input points may be assigned to projects in the Regional Impact and Division Needs categories, but not the Statewide Mobility category. The Foothills RPO, serving McDowell, Polk, a</w:t>
      </w:r>
      <w:r w:rsidR="6AC154BE">
        <w:t xml:space="preserve">nd </w:t>
      </w:r>
      <w:r w:rsidR="7DA10BED">
        <w:t>Rutherford counties</w:t>
      </w:r>
      <w:r w:rsidR="6AC154BE">
        <w:t>, may allocate the following number of local points for projects in the eligible categories:</w:t>
      </w:r>
    </w:p>
    <w:p w14:paraId="61498D71" w14:textId="01876714" w:rsidR="6AC154BE" w:rsidRDefault="6AC154BE" w:rsidP="0866ED51">
      <w:pPr>
        <w:pStyle w:val="ListParagraph"/>
        <w:numPr>
          <w:ilvl w:val="0"/>
          <w:numId w:val="6"/>
        </w:numPr>
      </w:pPr>
      <w:r w:rsidRPr="0866ED51">
        <w:rPr>
          <w:b/>
          <w:bCs/>
        </w:rPr>
        <w:t>0 points – Statewide Mobility:</w:t>
      </w:r>
      <w:r>
        <w:t xml:space="preserve"> Entirely determined by quantitative score. The Statewide routes in the FRPO are US 221</w:t>
      </w:r>
      <w:r w:rsidR="5B3DF259">
        <w:t xml:space="preserve">, north of US 74 in </w:t>
      </w:r>
      <w:r w:rsidR="3919C27A">
        <w:t>Rutherford County</w:t>
      </w:r>
      <w:r w:rsidR="5B3DF259">
        <w:t xml:space="preserve">; US 74; 1-26; and I-40. </w:t>
      </w:r>
    </w:p>
    <w:p w14:paraId="5656102E" w14:textId="7A2F98E9" w:rsidR="34AE00B0" w:rsidRDefault="34AE00B0" w:rsidP="0866ED51">
      <w:pPr>
        <w:pStyle w:val="ListParagraph"/>
        <w:numPr>
          <w:ilvl w:val="0"/>
          <w:numId w:val="6"/>
        </w:numPr>
      </w:pPr>
      <w:r w:rsidRPr="0866ED51">
        <w:rPr>
          <w:b/>
          <w:bCs/>
        </w:rPr>
        <w:t>1300 points – Regional Level Projects:</w:t>
      </w:r>
      <w:r>
        <w:t xml:space="preserve"> All projects on routes considered but not funded at the Statewide level and US 70, US 64, US 176, US 221, s</w:t>
      </w:r>
      <w:r w:rsidR="1A6709AD">
        <w:t>outh of US 74; US 221, US 221 Business, all NC routes; and multicounty passenger rail service are evaluated on the Regional Level.</w:t>
      </w:r>
    </w:p>
    <w:p w14:paraId="6DB3EF7C" w14:textId="20AFA3D7" w:rsidR="6D70819F" w:rsidRDefault="6D70819F" w:rsidP="0866ED51">
      <w:pPr>
        <w:pStyle w:val="ListParagraph"/>
        <w:numPr>
          <w:ilvl w:val="0"/>
          <w:numId w:val="6"/>
        </w:numPr>
      </w:pPr>
      <w:r w:rsidRPr="0866ED51">
        <w:rPr>
          <w:b/>
          <w:bCs/>
        </w:rPr>
        <w:t>1300 points – Division Level Projects:</w:t>
      </w:r>
      <w:r>
        <w:t xml:space="preserve"> All projects on routes considered but not funded at the Statewide and Regional Levels and projects </w:t>
      </w:r>
      <w:r w:rsidR="298E8F28">
        <w:t>involving</w:t>
      </w:r>
      <w:r>
        <w:t xml:space="preserve"> SR routes, </w:t>
      </w:r>
      <w:r w:rsidR="49E08648">
        <w:t>bicycle</w:t>
      </w:r>
      <w:r>
        <w:t xml:space="preserve"> and pedestrian transportation, transit, and airports are evaluate</w:t>
      </w:r>
      <w:r w:rsidR="2FFCF679">
        <w:t xml:space="preserve">d at the Division Level. </w:t>
      </w:r>
    </w:p>
    <w:p w14:paraId="489D1674" w14:textId="51F4D108" w:rsidR="198F14D1" w:rsidRDefault="198F14D1" w:rsidP="0866ED51">
      <w:r>
        <w:lastRenderedPageBreak/>
        <w:t>This memorandum describes the methodology that FRPO proposes to allocate its local input points.</w:t>
      </w:r>
    </w:p>
    <w:p w14:paraId="5107AE98" w14:textId="2D497745" w:rsidR="7660F3F2" w:rsidRDefault="7660F3F2" w:rsidP="0866ED51">
      <w:r>
        <w:t>NCDOT requires that the methodology include the following components:</w:t>
      </w:r>
    </w:p>
    <w:p w14:paraId="6F5B97A1" w14:textId="66159F78" w:rsidR="7660F3F2" w:rsidRDefault="7660F3F2" w:rsidP="0866ED51">
      <w:pPr>
        <w:pStyle w:val="ListParagraph"/>
        <w:numPr>
          <w:ilvl w:val="0"/>
          <w:numId w:val="3"/>
        </w:numPr>
      </w:pPr>
      <w:r>
        <w:t>At least two criteria (with at least one being qualitative)</w:t>
      </w:r>
    </w:p>
    <w:p w14:paraId="624AF8A6" w14:textId="7AC1CACE" w:rsidR="7660F3F2" w:rsidRDefault="7660F3F2" w:rsidP="0866ED51">
      <w:pPr>
        <w:pStyle w:val="ListParagraph"/>
        <w:numPr>
          <w:ilvl w:val="0"/>
          <w:numId w:val="3"/>
        </w:numPr>
      </w:pPr>
      <w:r>
        <w:t xml:space="preserve">Public </w:t>
      </w:r>
      <w:r w:rsidR="5842C8E6">
        <w:t>Involvement</w:t>
      </w:r>
      <w:r>
        <w:t xml:space="preserve"> (on the proposed methodology, and the preliminary assignment of local input points to projects based on the approved methodology)</w:t>
      </w:r>
    </w:p>
    <w:p w14:paraId="22CD94AE" w14:textId="7076150B" w:rsidR="7660F3F2" w:rsidRDefault="7660F3F2" w:rsidP="0866ED51">
      <w:pPr>
        <w:pStyle w:val="ListParagraph"/>
        <w:numPr>
          <w:ilvl w:val="0"/>
          <w:numId w:val="3"/>
        </w:numPr>
      </w:pPr>
      <w:r>
        <w:t xml:space="preserve">Dissemination of methodology, local points, and public input on </w:t>
      </w:r>
      <w:hyperlink r:id="rId8">
        <w:r w:rsidRPr="0866ED51">
          <w:rPr>
            <w:rStyle w:val="Hyperlink"/>
          </w:rPr>
          <w:t>FRPO’s website</w:t>
        </w:r>
      </w:hyperlink>
      <w:r>
        <w:t xml:space="preserve"> </w:t>
      </w:r>
    </w:p>
    <w:p w14:paraId="08D2B345" w14:textId="085E6893" w:rsidR="0866ED51" w:rsidRDefault="0866ED51" w:rsidP="0866ED51">
      <w:pPr>
        <w:rPr>
          <w:b/>
          <w:bCs/>
          <w:u w:val="single"/>
        </w:rPr>
      </w:pPr>
    </w:p>
    <w:p w14:paraId="27F99F67" w14:textId="23B46A64" w:rsidR="3EFC26BC" w:rsidRPr="000059E5" w:rsidRDefault="3EFC26BC" w:rsidP="0866ED51">
      <w:pPr>
        <w:rPr>
          <w:b/>
          <w:bCs/>
          <w:u w:val="single"/>
        </w:rPr>
      </w:pPr>
      <w:r w:rsidRPr="000059E5">
        <w:rPr>
          <w:b/>
          <w:bCs/>
          <w:u w:val="single"/>
        </w:rPr>
        <w:t>Schedule</w:t>
      </w:r>
    </w:p>
    <w:p w14:paraId="6B32855E" w14:textId="49291A45" w:rsidR="35E4FDF3" w:rsidRPr="000059E5" w:rsidRDefault="35E4FDF3" w:rsidP="0866ED51">
      <w:r w:rsidRPr="000059E5">
        <w:t xml:space="preserve">Phase 1: Develop STIP Methodology/Submit New Candidate Projects to SPOT </w:t>
      </w:r>
      <w:r w:rsidR="006E6EAA" w:rsidRPr="000059E5">
        <w:t>8</w:t>
      </w:r>
      <w:r w:rsidRPr="000059E5">
        <w:t>.0</w:t>
      </w:r>
    </w:p>
    <w:p w14:paraId="3392B876" w14:textId="183AB051" w:rsidR="35E4FDF3" w:rsidRPr="000059E5" w:rsidRDefault="35E4FDF3" w:rsidP="0866ED51">
      <w:pPr>
        <w:pStyle w:val="ListParagraph"/>
        <w:numPr>
          <w:ilvl w:val="0"/>
          <w:numId w:val="5"/>
        </w:numPr>
      </w:pPr>
      <w:r w:rsidRPr="000059E5">
        <w:t>Submit any new highway, aviation, public transit, and/or bike/pedestrian projects to SPOT 7.0 (</w:t>
      </w:r>
      <w:r w:rsidR="000059E5" w:rsidRPr="000059E5">
        <w:t>September</w:t>
      </w:r>
      <w:r w:rsidR="42094853" w:rsidRPr="000059E5">
        <w:t xml:space="preserve"> 202</w:t>
      </w:r>
      <w:r w:rsidR="000059E5" w:rsidRPr="000059E5">
        <w:t>5</w:t>
      </w:r>
      <w:r w:rsidRPr="000059E5">
        <w:t>)</w:t>
      </w:r>
    </w:p>
    <w:p w14:paraId="0E1A935A" w14:textId="01C14C95" w:rsidR="35E4FDF3" w:rsidRPr="000059E5" w:rsidRDefault="35E4FDF3" w:rsidP="0866ED51">
      <w:pPr>
        <w:pStyle w:val="ListParagraph"/>
        <w:numPr>
          <w:ilvl w:val="0"/>
          <w:numId w:val="5"/>
        </w:numPr>
      </w:pPr>
      <w:r w:rsidRPr="000059E5">
        <w:t>Submit draft scoring methodology to NCDOT for review (</w:t>
      </w:r>
      <w:r w:rsidR="215BBAEC" w:rsidRPr="000059E5">
        <w:t>February 202</w:t>
      </w:r>
      <w:r w:rsidR="000059E5" w:rsidRPr="000059E5">
        <w:t>6</w:t>
      </w:r>
      <w:r w:rsidRPr="000059E5">
        <w:t>)</w:t>
      </w:r>
    </w:p>
    <w:p w14:paraId="7F1B6F5A" w14:textId="734CA88A" w:rsidR="35E4FDF3" w:rsidRPr="000059E5" w:rsidRDefault="35E4FDF3" w:rsidP="0866ED51">
      <w:pPr>
        <w:pStyle w:val="ListParagraph"/>
        <w:numPr>
          <w:ilvl w:val="0"/>
          <w:numId w:val="5"/>
        </w:numPr>
      </w:pPr>
      <w:r w:rsidRPr="000059E5">
        <w:t>Distribute draft scoring methodology to TAC/TCC for review (</w:t>
      </w:r>
      <w:r w:rsidR="0CF7282B" w:rsidRPr="000059E5">
        <w:t xml:space="preserve">March </w:t>
      </w:r>
      <w:r w:rsidR="003F15A7" w:rsidRPr="000059E5">
        <w:t>10</w:t>
      </w:r>
      <w:r w:rsidR="0CF7282B" w:rsidRPr="000059E5">
        <w:t>, 202</w:t>
      </w:r>
      <w:r w:rsidR="000059E5">
        <w:t>6</w:t>
      </w:r>
      <w:r w:rsidRPr="000059E5">
        <w:t>)</w:t>
      </w:r>
    </w:p>
    <w:p w14:paraId="7B30351E" w14:textId="6E928547" w:rsidR="35E4FDF3" w:rsidRPr="000059E5" w:rsidRDefault="35E4FDF3" w:rsidP="0866ED51">
      <w:pPr>
        <w:pStyle w:val="ListParagraph"/>
        <w:numPr>
          <w:ilvl w:val="0"/>
          <w:numId w:val="5"/>
        </w:numPr>
      </w:pPr>
      <w:r w:rsidRPr="000059E5">
        <w:t>Public Comment Period (</w:t>
      </w:r>
      <w:r w:rsidR="1CC19C09" w:rsidRPr="000059E5">
        <w:t>Begin</w:t>
      </w:r>
      <w:r w:rsidR="3F6B6ED8" w:rsidRPr="000059E5">
        <w:t xml:space="preserve">s in </w:t>
      </w:r>
      <w:r w:rsidR="1CC19C09" w:rsidRPr="000059E5">
        <w:t>March 202</w:t>
      </w:r>
      <w:r w:rsidR="000059E5">
        <w:t>6</w:t>
      </w:r>
      <w:r w:rsidRPr="000059E5">
        <w:t>)</w:t>
      </w:r>
    </w:p>
    <w:p w14:paraId="6CFDFBB1" w14:textId="2BF79AAA" w:rsidR="35E4FDF3" w:rsidRPr="000059E5" w:rsidRDefault="35E4FDF3" w:rsidP="0866ED51">
      <w:pPr>
        <w:pStyle w:val="ListParagraph"/>
        <w:numPr>
          <w:ilvl w:val="0"/>
          <w:numId w:val="5"/>
        </w:numPr>
      </w:pPr>
      <w:r w:rsidRPr="000059E5">
        <w:t>TAC approves scoring methodology (</w:t>
      </w:r>
      <w:r w:rsidR="6EEA66E8" w:rsidRPr="000059E5">
        <w:t>May 202</w:t>
      </w:r>
      <w:r w:rsidR="000059E5">
        <w:t>6</w:t>
      </w:r>
      <w:r w:rsidRPr="000059E5">
        <w:t>)</w:t>
      </w:r>
    </w:p>
    <w:p w14:paraId="5DE5E90A" w14:textId="00B95EC7" w:rsidR="35E4FDF3" w:rsidRPr="000059E5" w:rsidRDefault="35E4FDF3" w:rsidP="0866ED51">
      <w:r w:rsidRPr="000059E5">
        <w:t>Phase 2: Assign Points &amp; Final Rankings</w:t>
      </w:r>
    </w:p>
    <w:p w14:paraId="2DDB015E" w14:textId="4E4DAE75" w:rsidR="35E4FDF3" w:rsidRPr="000059E5" w:rsidRDefault="35E4FDF3" w:rsidP="0866ED51">
      <w:pPr>
        <w:pStyle w:val="ListParagraph"/>
        <w:numPr>
          <w:ilvl w:val="0"/>
          <w:numId w:val="4"/>
        </w:numPr>
      </w:pPr>
      <w:r w:rsidRPr="000059E5">
        <w:t>NCDOT scores released (</w:t>
      </w:r>
      <w:r w:rsidR="0FD1B774" w:rsidRPr="000059E5">
        <w:t>May</w:t>
      </w:r>
      <w:r w:rsidR="7550FD4C" w:rsidRPr="000059E5">
        <w:t xml:space="preserve"> 202</w:t>
      </w:r>
      <w:r w:rsidR="000059E5" w:rsidRPr="000059E5">
        <w:t>6</w:t>
      </w:r>
      <w:r w:rsidRPr="000059E5">
        <w:t>)</w:t>
      </w:r>
    </w:p>
    <w:p w14:paraId="16579BAA" w14:textId="208D3DD6" w:rsidR="35E4FDF3" w:rsidRPr="000059E5" w:rsidRDefault="35E4FDF3" w:rsidP="0866ED51">
      <w:pPr>
        <w:pStyle w:val="ListParagraph"/>
        <w:numPr>
          <w:ilvl w:val="0"/>
          <w:numId w:val="4"/>
        </w:numPr>
      </w:pPr>
      <w:r w:rsidRPr="000059E5">
        <w:t>Draft Point Assignments released (</w:t>
      </w:r>
      <w:r w:rsidR="678413FC" w:rsidRPr="000059E5">
        <w:t xml:space="preserve">June to </w:t>
      </w:r>
      <w:r w:rsidR="54C2FC65" w:rsidRPr="000059E5">
        <w:t>August 202</w:t>
      </w:r>
      <w:r w:rsidR="000059E5" w:rsidRPr="000059E5">
        <w:t>6</w:t>
      </w:r>
      <w:r w:rsidRPr="000059E5">
        <w:t>)</w:t>
      </w:r>
    </w:p>
    <w:p w14:paraId="631F3FD0" w14:textId="658A1075" w:rsidR="35E4FDF3" w:rsidRPr="000059E5" w:rsidRDefault="35E4FDF3" w:rsidP="0866ED51">
      <w:pPr>
        <w:pStyle w:val="ListParagraph"/>
        <w:numPr>
          <w:ilvl w:val="0"/>
          <w:numId w:val="4"/>
        </w:numPr>
      </w:pPr>
      <w:r w:rsidRPr="000059E5">
        <w:t>Public Comment Period (</w:t>
      </w:r>
      <w:r w:rsidR="54B9DE5F" w:rsidRPr="000059E5">
        <w:t>August 2024</w:t>
      </w:r>
      <w:r w:rsidRPr="000059E5">
        <w:t>)</w:t>
      </w:r>
    </w:p>
    <w:p w14:paraId="7B824FC6" w14:textId="137AF6E1" w:rsidR="35E4FDF3" w:rsidRPr="000059E5" w:rsidRDefault="35E4FDF3" w:rsidP="0866ED51">
      <w:pPr>
        <w:pStyle w:val="ListParagraph"/>
        <w:numPr>
          <w:ilvl w:val="0"/>
          <w:numId w:val="4"/>
        </w:numPr>
      </w:pPr>
      <w:r w:rsidRPr="000059E5">
        <w:t>TAC approves final point assignments for Regional Projects (</w:t>
      </w:r>
      <w:r w:rsidR="43C0D0D0" w:rsidRPr="000059E5">
        <w:t>September</w:t>
      </w:r>
      <w:r w:rsidR="092F20F9" w:rsidRPr="000059E5">
        <w:t xml:space="preserve"> 202</w:t>
      </w:r>
      <w:r w:rsidR="000059E5" w:rsidRPr="000059E5">
        <w:t>6</w:t>
      </w:r>
      <w:r w:rsidRPr="000059E5">
        <w:t>)</w:t>
      </w:r>
    </w:p>
    <w:p w14:paraId="4C615414" w14:textId="7CEE89C9" w:rsidR="35E4FDF3" w:rsidRPr="000059E5" w:rsidRDefault="35E4FDF3" w:rsidP="0866ED51">
      <w:pPr>
        <w:pStyle w:val="ListParagraph"/>
        <w:numPr>
          <w:ilvl w:val="0"/>
          <w:numId w:val="4"/>
        </w:numPr>
      </w:pPr>
      <w:r w:rsidRPr="000059E5">
        <w:t>Submit final local input point assignments to NCDOT (</w:t>
      </w:r>
      <w:r w:rsidR="442F997A" w:rsidRPr="000059E5">
        <w:t>December</w:t>
      </w:r>
      <w:r w:rsidR="27CC7458" w:rsidRPr="000059E5">
        <w:t xml:space="preserve"> 202</w:t>
      </w:r>
      <w:r w:rsidR="000059E5" w:rsidRPr="000059E5">
        <w:t>6</w:t>
      </w:r>
      <w:r w:rsidRPr="000059E5">
        <w:t>)</w:t>
      </w:r>
    </w:p>
    <w:p w14:paraId="3570C103" w14:textId="499A3286" w:rsidR="35E4FDF3" w:rsidRPr="000059E5" w:rsidRDefault="35E4FDF3" w:rsidP="0866ED51">
      <w:pPr>
        <w:pStyle w:val="ListParagraph"/>
        <w:numPr>
          <w:ilvl w:val="0"/>
          <w:numId w:val="4"/>
        </w:numPr>
      </w:pPr>
      <w:r w:rsidRPr="000059E5">
        <w:t>TAC approves final point assignments for Division Projects (</w:t>
      </w:r>
      <w:r w:rsidR="79DF9C5E" w:rsidRPr="000059E5">
        <w:t>January to February</w:t>
      </w:r>
      <w:r w:rsidR="41A7279A" w:rsidRPr="000059E5">
        <w:t xml:space="preserve"> 202</w:t>
      </w:r>
      <w:r w:rsidR="000059E5" w:rsidRPr="000059E5">
        <w:t>7</w:t>
      </w:r>
      <w:r w:rsidRPr="000059E5">
        <w:t>)</w:t>
      </w:r>
    </w:p>
    <w:p w14:paraId="74E1A72C" w14:textId="47C29F5C" w:rsidR="35E4FDF3" w:rsidRPr="000059E5" w:rsidRDefault="35E4FDF3" w:rsidP="0866ED51">
      <w:pPr>
        <w:pStyle w:val="ListParagraph"/>
        <w:numPr>
          <w:ilvl w:val="0"/>
          <w:numId w:val="4"/>
        </w:numPr>
      </w:pPr>
      <w:r w:rsidRPr="000059E5">
        <w:t>Submit final local input point assignments to NCDOT (</w:t>
      </w:r>
      <w:r w:rsidR="160C11BF" w:rsidRPr="000059E5">
        <w:t>March 202</w:t>
      </w:r>
      <w:r w:rsidR="000059E5" w:rsidRPr="000059E5">
        <w:t>7</w:t>
      </w:r>
      <w:r w:rsidRPr="000059E5">
        <w:t>)</w:t>
      </w:r>
    </w:p>
    <w:p w14:paraId="4F5AABBB" w14:textId="6C467AAE" w:rsidR="0866ED51" w:rsidRDefault="0866ED51" w:rsidP="0866ED51"/>
    <w:p w14:paraId="35F25257" w14:textId="0A79CCEA" w:rsidR="06DF83C7" w:rsidRDefault="06DF83C7" w:rsidP="0866ED51">
      <w:pPr>
        <w:rPr>
          <w:b/>
          <w:bCs/>
          <w:u w:val="single"/>
        </w:rPr>
      </w:pPr>
      <w:r w:rsidRPr="0866ED51">
        <w:rPr>
          <w:b/>
          <w:bCs/>
          <w:u w:val="single"/>
        </w:rPr>
        <w:t>Description of Criteria and Weights</w:t>
      </w:r>
    </w:p>
    <w:p w14:paraId="69281B0D" w14:textId="2CCFFFA3" w:rsidR="06DF83C7" w:rsidRDefault="06DF83C7" w:rsidP="0866ED51">
      <w:r>
        <w:t>The Foothills RPO will use the following for assigning points (see scoring tables):</w:t>
      </w:r>
    </w:p>
    <w:p w14:paraId="664B9730" w14:textId="1D56714F" w:rsidR="06DF83C7" w:rsidRDefault="06DF83C7" w:rsidP="0866ED51">
      <w:pPr>
        <w:pStyle w:val="ListParagraph"/>
        <w:numPr>
          <w:ilvl w:val="0"/>
          <w:numId w:val="2"/>
        </w:numPr>
      </w:pPr>
      <w:r>
        <w:t>FRPO will score based on a 100-point system.</w:t>
      </w:r>
    </w:p>
    <w:p w14:paraId="5D7AEBE7" w14:textId="1CE123EE" w:rsidR="06DF83C7" w:rsidRDefault="06DF83C7" w:rsidP="0866ED51">
      <w:pPr>
        <w:pStyle w:val="ListParagraph"/>
        <w:numPr>
          <w:ilvl w:val="0"/>
          <w:numId w:val="2"/>
        </w:numPr>
      </w:pPr>
      <w:r>
        <w:t>NCDOT P7.0 quantitative score will account for 70% in the Regional Impact Tier and 50% in the Division Needs Tier.</w:t>
      </w:r>
    </w:p>
    <w:p w14:paraId="46CF6443" w14:textId="0121E8F7" w:rsidR="06DF83C7" w:rsidRDefault="06DF83C7" w:rsidP="0866ED51">
      <w:pPr>
        <w:pStyle w:val="ListParagraph"/>
        <w:numPr>
          <w:ilvl w:val="0"/>
          <w:numId w:val="2"/>
        </w:numPr>
      </w:pPr>
      <w:r>
        <w:lastRenderedPageBreak/>
        <w:t xml:space="preserve">Local Priority will account for </w:t>
      </w:r>
      <w:r w:rsidR="00BB56E8">
        <w:t>20</w:t>
      </w:r>
      <w:r>
        <w:t xml:space="preserve">% in the Regional Impact Tier and </w:t>
      </w:r>
      <w:r w:rsidR="00BB56E8">
        <w:t>40</w:t>
      </w:r>
      <w:r>
        <w:t xml:space="preserve">% in the Division Needs Tier. </w:t>
      </w:r>
    </w:p>
    <w:p w14:paraId="3C8860CB" w14:textId="49B51926" w:rsidR="06DF83C7" w:rsidRDefault="06DF83C7" w:rsidP="0866ED51">
      <w:pPr>
        <w:pStyle w:val="ListParagraph"/>
        <w:numPr>
          <w:ilvl w:val="0"/>
          <w:numId w:val="2"/>
        </w:numPr>
      </w:pPr>
      <w:r>
        <w:t>Project Development</w:t>
      </w:r>
      <w:r w:rsidR="00BB56E8">
        <w:t>/Plan Consistency</w:t>
      </w:r>
      <w:r>
        <w:t xml:space="preserve"> will account for the remaining </w:t>
      </w:r>
      <w:r w:rsidR="00BB56E8">
        <w:t>10</w:t>
      </w:r>
      <w:r>
        <w:t>% in the Regional Impact Tier</w:t>
      </w:r>
      <w:r w:rsidR="00BB56E8">
        <w:t xml:space="preserve"> and 10% in the Division Needs Tier.</w:t>
      </w:r>
    </w:p>
    <w:p w14:paraId="34CCF507" w14:textId="31D09C06" w:rsidR="0866ED51" w:rsidRDefault="0866ED51" w:rsidP="0866ED51">
      <w:pPr>
        <w:rPr>
          <w:b/>
          <w:bCs/>
          <w:u w:val="single"/>
        </w:rPr>
      </w:pPr>
    </w:p>
    <w:p w14:paraId="5E971D8C" w14:textId="0650E232" w:rsidR="06DF83C7" w:rsidRDefault="00C10D9C" w:rsidP="0866ED51">
      <w:pPr>
        <w:rPr>
          <w:b/>
          <w:bCs/>
          <w:u w:val="single"/>
        </w:rPr>
      </w:pPr>
      <w:r>
        <w:rPr>
          <w:b/>
          <w:bCs/>
          <w:u w:val="single"/>
        </w:rPr>
        <w:t>FRPO Scoring Criteria</w:t>
      </w:r>
    </w:p>
    <w:p w14:paraId="7586931C" w14:textId="7B5F88B4" w:rsidR="00401A7A" w:rsidRDefault="00401A7A" w:rsidP="00401A7A">
      <w:r w:rsidRPr="00401A7A">
        <w:t xml:space="preserve">Projects in the Prioritization </w:t>
      </w:r>
      <w:r>
        <w:t>8</w:t>
      </w:r>
      <w:r w:rsidRPr="00401A7A">
        <w:t>.0 database include carryovers from P</w:t>
      </w:r>
      <w:r>
        <w:t>7</w:t>
      </w:r>
      <w:r w:rsidRPr="00401A7A">
        <w:t xml:space="preserve"> and new P</w:t>
      </w:r>
      <w:r>
        <w:t>8</w:t>
      </w:r>
      <w:r w:rsidRPr="00401A7A">
        <w:t xml:space="preserve"> submittals from </w:t>
      </w:r>
      <w:r>
        <w:t xml:space="preserve">FRPO, </w:t>
      </w:r>
      <w:r w:rsidRPr="00401A7A">
        <w:t>Division 1</w:t>
      </w:r>
      <w:r>
        <w:t>3, and Division 14</w:t>
      </w:r>
      <w:r w:rsidRPr="00401A7A">
        <w:t xml:space="preserve">.  These projects will be ranked to determine which ones will receive the </w:t>
      </w:r>
      <w:r>
        <w:t>F</w:t>
      </w:r>
      <w:r w:rsidRPr="00401A7A">
        <w:t xml:space="preserve">RPO’s Local Input Points. The following </w:t>
      </w:r>
      <w:r w:rsidR="008A4FDE">
        <w:rPr>
          <w:u w:val="single"/>
        </w:rPr>
        <w:t>three</w:t>
      </w:r>
      <w:r w:rsidRPr="00401A7A">
        <w:rPr>
          <w:u w:val="single"/>
        </w:rPr>
        <w:t xml:space="preserve"> criteria</w:t>
      </w:r>
      <w:r w:rsidRPr="00401A7A">
        <w:t xml:space="preserve"> will be used.</w:t>
      </w:r>
    </w:p>
    <w:p w14:paraId="428A177C" w14:textId="288B7FAC" w:rsidR="00370DDE" w:rsidRPr="00370DDE" w:rsidRDefault="00370DDE" w:rsidP="00370DDE">
      <w:r w:rsidRPr="00370DDE">
        <w:rPr>
          <w:b/>
          <w:u w:val="single"/>
        </w:rPr>
        <w:t xml:space="preserve">Criterion #1, Prioritization </w:t>
      </w:r>
      <w:r>
        <w:rPr>
          <w:b/>
          <w:u w:val="single"/>
        </w:rPr>
        <w:t>8</w:t>
      </w:r>
      <w:r w:rsidRPr="00370DDE">
        <w:rPr>
          <w:b/>
          <w:u w:val="single"/>
        </w:rPr>
        <w:t>.0 Quantitative Score</w:t>
      </w:r>
      <w:r w:rsidRPr="00370DDE">
        <w:rPr>
          <w:b/>
        </w:rPr>
        <w:t xml:space="preserve">. </w:t>
      </w:r>
      <w:r w:rsidRPr="00370DDE">
        <w:t>This score is generated by the NCDOT Strategic Prioritization Office and incorporates multiple metrics from a data-driven process. Data measured to produce the quantitative score include traffic volume, congestion, benefit-cost, safety, accessibility/connectivity, pavement condition, lane width, and shoulder width. Scores are calculated separately for each funding category, so each project will have a different score for each category, if eligible for funding in that category (see above).</w:t>
      </w:r>
    </w:p>
    <w:p w14:paraId="4C2673E2" w14:textId="77777777" w:rsidR="00955FBC" w:rsidRPr="00955FBC" w:rsidRDefault="00955FBC" w:rsidP="00955FBC">
      <w:r w:rsidRPr="00955FBC">
        <w:rPr>
          <w:u w:val="single"/>
        </w:rPr>
        <w:t>Weight</w:t>
      </w:r>
      <w:r w:rsidRPr="00955FBC">
        <w:t xml:space="preserve">: The NCDOT </w:t>
      </w:r>
      <w:r w:rsidRPr="00955FBC">
        <w:rPr>
          <w:u w:val="single"/>
        </w:rPr>
        <w:t>Regional Impact</w:t>
      </w:r>
      <w:r w:rsidRPr="00955FBC">
        <w:t xml:space="preserve"> Quantitative Score will be equal to 70% of the Project Regional Score and the NCDOT </w:t>
      </w:r>
      <w:r w:rsidRPr="00955FBC">
        <w:rPr>
          <w:u w:val="single"/>
        </w:rPr>
        <w:t>Division Needs</w:t>
      </w:r>
      <w:r w:rsidRPr="00955FBC">
        <w:t xml:space="preserve"> Quantitative Score will be equal to 50% of the Project Division Score.</w:t>
      </w:r>
    </w:p>
    <w:p w14:paraId="79553FFA" w14:textId="77777777" w:rsidR="00401A7A" w:rsidRDefault="00401A7A" w:rsidP="00401A7A"/>
    <w:p w14:paraId="1C54A316" w14:textId="4A029AC5" w:rsidR="00B53283" w:rsidRPr="00B53283" w:rsidRDefault="00B53283" w:rsidP="00B53283">
      <w:r w:rsidRPr="00B53283">
        <w:rPr>
          <w:b/>
          <w:u w:val="single"/>
        </w:rPr>
        <w:t>Criterion #2, Local Priority</w:t>
      </w:r>
      <w:r w:rsidRPr="00B53283">
        <w:rPr>
          <w:b/>
        </w:rPr>
        <w:t xml:space="preserve">. </w:t>
      </w:r>
      <w:r w:rsidRPr="00B53283">
        <w:t xml:space="preserve">Local Priority is a qualitative measure of the highest priority projects within each county. Members of the </w:t>
      </w:r>
      <w:r>
        <w:t>F</w:t>
      </w:r>
      <w:r w:rsidRPr="00B53283">
        <w:t xml:space="preserve">RPO Transportation Advisory Committee (TAC) and Technical Coordinating Committee (TCC) are expected to collaborate with other county/municipal elected officials, staff, and other stakeholders to develop consensus on the ranked priority of projects within each county. Additional stakeholders consulted may include emergency management, law enforcement, economic developers, tourism authorities, water and sewer authorities, tribal governments, major education or healthcare institutions, major employers, transit directors, airport managers, bicycle/pedestrian advocates, railroad officials, etc. The Local Priority ranking will incorporate the most current local knowledge such as economic development information, destinations served, citizens’ concerns, public safety, access, etc. Local stakeholders will meet to gain consensus on the priorities and will submit a list of ranked projects in order of priority along with a brief rationale for the ranking. </w:t>
      </w:r>
    </w:p>
    <w:p w14:paraId="7601564F" w14:textId="7389814A" w:rsidR="00B53283" w:rsidRPr="00B53283" w:rsidRDefault="00B53283" w:rsidP="00B53283">
      <w:r w:rsidRPr="00B53283">
        <w:rPr>
          <w:u w:val="single"/>
        </w:rPr>
        <w:lastRenderedPageBreak/>
        <w:t>Weight</w:t>
      </w:r>
      <w:r w:rsidRPr="00B53283">
        <w:t xml:space="preserve">: The Local Priority will be equal to </w:t>
      </w:r>
      <w:r w:rsidR="006207B8">
        <w:t>20</w:t>
      </w:r>
      <w:r w:rsidRPr="00B53283">
        <w:t xml:space="preserve">% of the Regional Score and </w:t>
      </w:r>
      <w:r w:rsidR="006207B8">
        <w:t>30</w:t>
      </w:r>
      <w:r w:rsidRPr="00B53283">
        <w:t xml:space="preserve">% of the Division Score. </w:t>
      </w:r>
    </w:p>
    <w:p w14:paraId="588833FE" w14:textId="77777777" w:rsidR="00683B23" w:rsidRDefault="00683B23" w:rsidP="00401A7A"/>
    <w:p w14:paraId="3B772AB4" w14:textId="6644AE80" w:rsidR="008A4FDE" w:rsidRPr="008A4FDE" w:rsidRDefault="008A4FDE" w:rsidP="008A4FDE">
      <w:r w:rsidRPr="008A4FDE">
        <w:rPr>
          <w:b/>
          <w:u w:val="single"/>
        </w:rPr>
        <w:t>Criterion #3,</w:t>
      </w:r>
      <w:r>
        <w:rPr>
          <w:b/>
          <w:u w:val="single"/>
        </w:rPr>
        <w:t xml:space="preserve"> Project Development</w:t>
      </w:r>
      <w:r w:rsidRPr="008A4FDE">
        <w:rPr>
          <w:b/>
        </w:rPr>
        <w:t xml:space="preserve">. </w:t>
      </w:r>
      <w:r w:rsidRPr="008A4FDE">
        <w:t xml:space="preserve">Projects that have been identified in a locally-adopted plan </w:t>
      </w:r>
      <w:r w:rsidR="007B3705">
        <w:t xml:space="preserve">and had </w:t>
      </w:r>
      <w:r w:rsidR="007B3705" w:rsidRPr="007B3705">
        <w:t>significant planning or development activities completed</w:t>
      </w:r>
      <w:r w:rsidR="007B3705">
        <w:t xml:space="preserve"> </w:t>
      </w:r>
      <w:r w:rsidRPr="008A4FDE">
        <w:t xml:space="preserve">will be given additional points. </w:t>
      </w:r>
    </w:p>
    <w:p w14:paraId="1E70955F" w14:textId="7E657938" w:rsidR="0866ED51" w:rsidRDefault="008A4FDE" w:rsidP="0866ED51">
      <w:r w:rsidRPr="008A4FDE">
        <w:rPr>
          <w:u w:val="single"/>
        </w:rPr>
        <w:t>Weight</w:t>
      </w:r>
      <w:r w:rsidRPr="008A4FDE">
        <w:t xml:space="preserve">: Plan Consistency will comprise </w:t>
      </w:r>
      <w:r w:rsidR="006207B8">
        <w:t>10</w:t>
      </w:r>
      <w:r w:rsidRPr="008A4FDE">
        <w:t xml:space="preserve">% of the Regional Score and </w:t>
      </w:r>
      <w:r w:rsidR="007B3705">
        <w:t>2</w:t>
      </w:r>
      <w:r w:rsidR="006207B8">
        <w:t>0</w:t>
      </w:r>
      <w:r w:rsidRPr="008A4FDE">
        <w:t xml:space="preserve">% of the Division score. </w:t>
      </w:r>
    </w:p>
    <w:p w14:paraId="67175AEF" w14:textId="5E20C55A" w:rsidR="6BE1C597" w:rsidRDefault="6BE1C597">
      <w:r>
        <w:br w:type="page"/>
      </w:r>
    </w:p>
    <w:p w14:paraId="30A8C3D6" w14:textId="039F1DD6" w:rsidR="4F6423AF" w:rsidRDefault="4F6423AF" w:rsidP="0866ED51">
      <w:pPr>
        <w:rPr>
          <w:b/>
          <w:bCs/>
          <w:u w:val="single"/>
        </w:rPr>
      </w:pPr>
      <w:r w:rsidRPr="0866ED51">
        <w:rPr>
          <w:b/>
          <w:bCs/>
          <w:u w:val="single"/>
        </w:rPr>
        <w:lastRenderedPageBreak/>
        <w:t>Scoring Tables</w:t>
      </w:r>
    </w:p>
    <w:tbl>
      <w:tblPr>
        <w:tblStyle w:val="TableGrid"/>
        <w:tblW w:w="10260" w:type="dxa"/>
        <w:tblInd w:w="-365" w:type="dxa"/>
        <w:tblLook w:val="04A0" w:firstRow="1" w:lastRow="0" w:firstColumn="1" w:lastColumn="0" w:noHBand="0" w:noVBand="1"/>
      </w:tblPr>
      <w:tblGrid>
        <w:gridCol w:w="2279"/>
        <w:gridCol w:w="1775"/>
        <w:gridCol w:w="2039"/>
        <w:gridCol w:w="1850"/>
        <w:gridCol w:w="2317"/>
      </w:tblGrid>
      <w:tr w:rsidR="0018740C" w14:paraId="4BA975D3" w14:textId="77777777" w:rsidTr="00F00AE4">
        <w:trPr>
          <w:trHeight w:val="575"/>
        </w:trPr>
        <w:tc>
          <w:tcPr>
            <w:tcW w:w="10260" w:type="dxa"/>
            <w:gridSpan w:val="5"/>
            <w:vAlign w:val="center"/>
          </w:tcPr>
          <w:p w14:paraId="3603D259" w14:textId="39974A46" w:rsidR="0018740C" w:rsidRPr="00780A9C" w:rsidRDefault="0018740C" w:rsidP="00F00AE4">
            <w:pPr>
              <w:jc w:val="center"/>
              <w:rPr>
                <w:b/>
                <w:bCs/>
                <w:sz w:val="28"/>
                <w:szCs w:val="28"/>
              </w:rPr>
            </w:pPr>
            <w:r w:rsidRPr="00780A9C">
              <w:rPr>
                <w:b/>
                <w:bCs/>
                <w:sz w:val="28"/>
                <w:szCs w:val="28"/>
              </w:rPr>
              <w:t>Regional Impact Scoring</w:t>
            </w:r>
          </w:p>
        </w:tc>
      </w:tr>
      <w:tr w:rsidR="0018740C" w14:paraId="68CC2D95" w14:textId="77777777" w:rsidTr="00E6151B">
        <w:trPr>
          <w:trHeight w:val="485"/>
        </w:trPr>
        <w:tc>
          <w:tcPr>
            <w:tcW w:w="2273" w:type="dxa"/>
            <w:shd w:val="clear" w:color="auto" w:fill="F6C5AC" w:themeFill="accent2" w:themeFillTint="66"/>
            <w:vAlign w:val="center"/>
          </w:tcPr>
          <w:p w14:paraId="3F1A0328" w14:textId="0E9019F7" w:rsidR="0018740C" w:rsidRPr="00780A9C" w:rsidRDefault="00E6151B" w:rsidP="00E6151B">
            <w:pPr>
              <w:jc w:val="center"/>
            </w:pPr>
            <w:r w:rsidRPr="00780A9C">
              <w:t>CRITERIA</w:t>
            </w:r>
          </w:p>
        </w:tc>
        <w:tc>
          <w:tcPr>
            <w:tcW w:w="1777" w:type="dxa"/>
            <w:shd w:val="clear" w:color="auto" w:fill="F6C5AC" w:themeFill="accent2" w:themeFillTint="66"/>
            <w:vAlign w:val="center"/>
          </w:tcPr>
          <w:p w14:paraId="63F7F7C3" w14:textId="57A18B02" w:rsidR="0018740C" w:rsidRPr="00780A9C" w:rsidRDefault="00E6151B" w:rsidP="00E6151B">
            <w:pPr>
              <w:jc w:val="center"/>
            </w:pPr>
            <w:r w:rsidRPr="00780A9C">
              <w:t>MAX SCORE</w:t>
            </w:r>
          </w:p>
        </w:tc>
        <w:tc>
          <w:tcPr>
            <w:tcW w:w="6210" w:type="dxa"/>
            <w:gridSpan w:val="3"/>
            <w:shd w:val="clear" w:color="auto" w:fill="F6C5AC" w:themeFill="accent2" w:themeFillTint="66"/>
            <w:vAlign w:val="center"/>
          </w:tcPr>
          <w:p w14:paraId="2DB7372B" w14:textId="12DFED68" w:rsidR="0018740C" w:rsidRPr="00780A9C" w:rsidRDefault="00E6151B" w:rsidP="00E6151B">
            <w:pPr>
              <w:jc w:val="center"/>
            </w:pPr>
            <w:r w:rsidRPr="00780A9C">
              <w:t>POINTS ALLOCATED TOWARD REGIONAL IMPACT SCORE</w:t>
            </w:r>
          </w:p>
        </w:tc>
      </w:tr>
      <w:tr w:rsidR="0018740C" w14:paraId="68B6E6B1" w14:textId="77777777" w:rsidTr="00CC4D46">
        <w:tc>
          <w:tcPr>
            <w:tcW w:w="2273" w:type="dxa"/>
          </w:tcPr>
          <w:p w14:paraId="7BFD9979" w14:textId="33773CD7" w:rsidR="0018740C" w:rsidRPr="00F00AE4" w:rsidRDefault="0018740C" w:rsidP="0866ED51">
            <w:pPr>
              <w:rPr>
                <w:b/>
                <w:bCs/>
                <w:i/>
                <w:iCs/>
              </w:rPr>
            </w:pPr>
            <w:r w:rsidRPr="00F00AE4">
              <w:rPr>
                <w:b/>
                <w:bCs/>
                <w:i/>
                <w:iCs/>
              </w:rPr>
              <w:t>Quantitative Score – Regional</w:t>
            </w:r>
          </w:p>
        </w:tc>
        <w:tc>
          <w:tcPr>
            <w:tcW w:w="1777" w:type="dxa"/>
          </w:tcPr>
          <w:p w14:paraId="4AF5A9D2" w14:textId="47020DE0" w:rsidR="0018740C" w:rsidRPr="0018740C" w:rsidRDefault="0018740C" w:rsidP="00E6151B">
            <w:pPr>
              <w:jc w:val="center"/>
            </w:pPr>
            <w:r>
              <w:t>70</w:t>
            </w:r>
          </w:p>
        </w:tc>
        <w:tc>
          <w:tcPr>
            <w:tcW w:w="6210" w:type="dxa"/>
            <w:gridSpan w:val="3"/>
            <w:vAlign w:val="center"/>
          </w:tcPr>
          <w:p w14:paraId="4A137D33" w14:textId="0BD9CAA5" w:rsidR="0018740C" w:rsidRPr="0018740C" w:rsidRDefault="0018740C" w:rsidP="00CC4D46">
            <w:pPr>
              <w:jc w:val="center"/>
            </w:pPr>
            <w:r>
              <w:t>Prioritization 8.0 Quantitative Score – Regional Impact</w:t>
            </w:r>
          </w:p>
        </w:tc>
      </w:tr>
      <w:tr w:rsidR="0018740C" w14:paraId="49C73F09" w14:textId="77777777" w:rsidTr="00E6151B">
        <w:tc>
          <w:tcPr>
            <w:tcW w:w="2273" w:type="dxa"/>
          </w:tcPr>
          <w:p w14:paraId="4BBCF3FC" w14:textId="7FE1C853" w:rsidR="0018740C" w:rsidRPr="00F00AE4" w:rsidRDefault="0018740C" w:rsidP="0866ED51">
            <w:pPr>
              <w:rPr>
                <w:b/>
                <w:bCs/>
                <w:i/>
                <w:iCs/>
              </w:rPr>
            </w:pPr>
            <w:r w:rsidRPr="00F00AE4">
              <w:rPr>
                <w:b/>
                <w:bCs/>
                <w:i/>
                <w:iCs/>
              </w:rPr>
              <w:t>Local Priority</w:t>
            </w:r>
          </w:p>
        </w:tc>
        <w:tc>
          <w:tcPr>
            <w:tcW w:w="1777" w:type="dxa"/>
          </w:tcPr>
          <w:p w14:paraId="2AE8E2AA" w14:textId="7B2E9238" w:rsidR="0018740C" w:rsidRPr="00936BC2" w:rsidRDefault="00A10738" w:rsidP="00E6151B">
            <w:pPr>
              <w:jc w:val="center"/>
            </w:pPr>
            <w:r>
              <w:t>20</w:t>
            </w:r>
          </w:p>
        </w:tc>
        <w:tc>
          <w:tcPr>
            <w:tcW w:w="2040" w:type="dxa"/>
          </w:tcPr>
          <w:p w14:paraId="5D37B6BF" w14:textId="77777777" w:rsidR="0018740C" w:rsidRDefault="00936BC2" w:rsidP="0866ED51">
            <w:r>
              <w:t>Priority #3</w:t>
            </w:r>
          </w:p>
          <w:p w14:paraId="434C5E9C" w14:textId="4EFDF458" w:rsidR="00936BC2" w:rsidRPr="00E6151B" w:rsidRDefault="00A10738" w:rsidP="0866ED51">
            <w:pPr>
              <w:rPr>
                <w:b/>
                <w:bCs/>
              </w:rPr>
            </w:pPr>
            <w:r w:rsidRPr="00E6151B">
              <w:rPr>
                <w:b/>
                <w:bCs/>
              </w:rPr>
              <w:t>10</w:t>
            </w:r>
            <w:r w:rsidR="00936BC2" w:rsidRPr="00E6151B">
              <w:rPr>
                <w:b/>
                <w:bCs/>
              </w:rPr>
              <w:t xml:space="preserve"> Points</w:t>
            </w:r>
          </w:p>
        </w:tc>
        <w:tc>
          <w:tcPr>
            <w:tcW w:w="1850" w:type="dxa"/>
          </w:tcPr>
          <w:p w14:paraId="49C5ADE2" w14:textId="77777777" w:rsidR="0018740C" w:rsidRDefault="00936BC2" w:rsidP="0866ED51">
            <w:r>
              <w:t>Priority #2</w:t>
            </w:r>
          </w:p>
          <w:p w14:paraId="63D6721E" w14:textId="6186ADFE" w:rsidR="00936BC2" w:rsidRPr="00E6151B" w:rsidRDefault="00936BC2" w:rsidP="0866ED51">
            <w:pPr>
              <w:rPr>
                <w:b/>
                <w:bCs/>
              </w:rPr>
            </w:pPr>
            <w:r w:rsidRPr="00E6151B">
              <w:rPr>
                <w:b/>
                <w:bCs/>
              </w:rPr>
              <w:t>1</w:t>
            </w:r>
            <w:r w:rsidR="00A10738" w:rsidRPr="00E6151B">
              <w:rPr>
                <w:b/>
                <w:bCs/>
              </w:rPr>
              <w:t>5</w:t>
            </w:r>
            <w:r w:rsidRPr="00E6151B">
              <w:rPr>
                <w:b/>
                <w:bCs/>
              </w:rPr>
              <w:t xml:space="preserve"> Points</w:t>
            </w:r>
          </w:p>
        </w:tc>
        <w:tc>
          <w:tcPr>
            <w:tcW w:w="2320" w:type="dxa"/>
          </w:tcPr>
          <w:p w14:paraId="25D5BA3B" w14:textId="77777777" w:rsidR="0018740C" w:rsidRDefault="00936BC2" w:rsidP="0866ED51">
            <w:r>
              <w:t>Priority #1</w:t>
            </w:r>
          </w:p>
          <w:p w14:paraId="34E4D4DF" w14:textId="52A73B34" w:rsidR="00936BC2" w:rsidRPr="00E6151B" w:rsidRDefault="00A10738" w:rsidP="0866ED51">
            <w:pPr>
              <w:rPr>
                <w:b/>
                <w:bCs/>
              </w:rPr>
            </w:pPr>
            <w:r w:rsidRPr="00E6151B">
              <w:rPr>
                <w:b/>
                <w:bCs/>
              </w:rPr>
              <w:t>20</w:t>
            </w:r>
            <w:r w:rsidR="00936BC2" w:rsidRPr="00E6151B">
              <w:rPr>
                <w:b/>
                <w:bCs/>
              </w:rPr>
              <w:t xml:space="preserve"> Points</w:t>
            </w:r>
          </w:p>
        </w:tc>
      </w:tr>
      <w:tr w:rsidR="0018740C" w14:paraId="67B691B4" w14:textId="77777777" w:rsidTr="00E6151B">
        <w:tc>
          <w:tcPr>
            <w:tcW w:w="2273" w:type="dxa"/>
          </w:tcPr>
          <w:p w14:paraId="7BCA15CE" w14:textId="160E7DE7" w:rsidR="0018740C" w:rsidRPr="00F00AE4" w:rsidRDefault="00936BC2" w:rsidP="0866ED51">
            <w:pPr>
              <w:rPr>
                <w:b/>
                <w:bCs/>
                <w:i/>
                <w:iCs/>
              </w:rPr>
            </w:pPr>
            <w:r w:rsidRPr="00F00AE4">
              <w:rPr>
                <w:b/>
                <w:bCs/>
                <w:i/>
                <w:iCs/>
              </w:rPr>
              <w:t>Project Development/Plan Consistency</w:t>
            </w:r>
          </w:p>
        </w:tc>
        <w:tc>
          <w:tcPr>
            <w:tcW w:w="1777" w:type="dxa"/>
          </w:tcPr>
          <w:p w14:paraId="12B3825D" w14:textId="42EC5164" w:rsidR="0018740C" w:rsidRPr="00936BC2" w:rsidRDefault="00936BC2" w:rsidP="00E6151B">
            <w:pPr>
              <w:jc w:val="center"/>
            </w:pPr>
            <w:r>
              <w:t>1</w:t>
            </w:r>
            <w:r w:rsidR="00A10738">
              <w:t>0</w:t>
            </w:r>
          </w:p>
        </w:tc>
        <w:tc>
          <w:tcPr>
            <w:tcW w:w="2040" w:type="dxa"/>
          </w:tcPr>
          <w:p w14:paraId="46F31411" w14:textId="5E3B824F" w:rsidR="0018740C" w:rsidRPr="00E6151B" w:rsidRDefault="00FE3156" w:rsidP="0866ED51">
            <w:pPr>
              <w:rPr>
                <w:b/>
                <w:bCs/>
              </w:rPr>
            </w:pPr>
            <w:r w:rsidRPr="00E6151B">
              <w:rPr>
                <w:b/>
                <w:bCs/>
              </w:rPr>
              <w:t>1 Point</w:t>
            </w:r>
            <w:r w:rsidR="00E6151B">
              <w:rPr>
                <w:b/>
                <w:bCs/>
              </w:rPr>
              <w:t>:</w:t>
            </w:r>
          </w:p>
          <w:p w14:paraId="0B9CED73" w14:textId="2C02FB2D" w:rsidR="00FE3156" w:rsidRPr="00FE3156" w:rsidRDefault="00E6151B" w:rsidP="0866ED51">
            <w:r>
              <w:t>-</w:t>
            </w:r>
            <w:r w:rsidR="00FE3156">
              <w:t xml:space="preserve">Feasibility Study or Express Design completed within last </w:t>
            </w:r>
            <w:r w:rsidR="00AB05E5">
              <w:t>5 years</w:t>
            </w:r>
          </w:p>
        </w:tc>
        <w:tc>
          <w:tcPr>
            <w:tcW w:w="1850" w:type="dxa"/>
          </w:tcPr>
          <w:p w14:paraId="6CCD0EDB" w14:textId="096AA519" w:rsidR="0018740C" w:rsidRPr="00E6151B" w:rsidRDefault="004778FE" w:rsidP="0866ED51">
            <w:pPr>
              <w:rPr>
                <w:b/>
                <w:bCs/>
              </w:rPr>
            </w:pPr>
            <w:r w:rsidRPr="00E6151B">
              <w:rPr>
                <w:b/>
                <w:bCs/>
              </w:rPr>
              <w:t>3 Points</w:t>
            </w:r>
            <w:r w:rsidR="00E6151B">
              <w:rPr>
                <w:b/>
                <w:bCs/>
              </w:rPr>
              <w:t>:</w:t>
            </w:r>
          </w:p>
          <w:p w14:paraId="45601FA5" w14:textId="5B4C68F4" w:rsidR="004778FE" w:rsidRDefault="00E6151B" w:rsidP="004778FE">
            <w:r>
              <w:t>-</w:t>
            </w:r>
            <w:r w:rsidR="004778FE">
              <w:t>Project includes Complete Streets or multi-modal transportation</w:t>
            </w:r>
          </w:p>
          <w:p w14:paraId="1E4E0914" w14:textId="1D632D50" w:rsidR="008C0E39" w:rsidRPr="004778FE" w:rsidRDefault="00E6151B" w:rsidP="004778FE">
            <w:r>
              <w:t>-</w:t>
            </w:r>
            <w:r w:rsidR="008C0E39">
              <w:t>Sibling project is committed in current STIP</w:t>
            </w:r>
          </w:p>
        </w:tc>
        <w:tc>
          <w:tcPr>
            <w:tcW w:w="2320" w:type="dxa"/>
          </w:tcPr>
          <w:p w14:paraId="06FADD2B" w14:textId="00CE1348" w:rsidR="0018740C" w:rsidRPr="00E6151B" w:rsidRDefault="00A10738" w:rsidP="0866ED51">
            <w:pPr>
              <w:rPr>
                <w:b/>
                <w:bCs/>
              </w:rPr>
            </w:pPr>
            <w:r w:rsidRPr="00E6151B">
              <w:rPr>
                <w:b/>
                <w:bCs/>
              </w:rPr>
              <w:t>5 Points</w:t>
            </w:r>
            <w:r w:rsidR="00E6151B">
              <w:rPr>
                <w:b/>
                <w:bCs/>
              </w:rPr>
              <w:t>:</w:t>
            </w:r>
          </w:p>
          <w:p w14:paraId="4822A70F" w14:textId="7CC673FD" w:rsidR="00A10738" w:rsidRDefault="00E6151B" w:rsidP="0866ED51">
            <w:r>
              <w:t>-</w:t>
            </w:r>
            <w:r w:rsidR="00A10738">
              <w:t>Project is in a locally adopted plan</w:t>
            </w:r>
          </w:p>
          <w:p w14:paraId="743622FA" w14:textId="645CB203" w:rsidR="00A10738" w:rsidRDefault="00E6151B" w:rsidP="0866ED51">
            <w:r>
              <w:t>-</w:t>
            </w:r>
            <w:r w:rsidR="00A10738">
              <w:t>Safety Score is at least 50</w:t>
            </w:r>
          </w:p>
          <w:p w14:paraId="32BF15DD" w14:textId="2CC00692" w:rsidR="004B5019" w:rsidRPr="004B5019" w:rsidRDefault="004B5019" w:rsidP="0866ED51"/>
        </w:tc>
      </w:tr>
      <w:tr w:rsidR="0018740C" w14:paraId="1DABAD15" w14:textId="77777777" w:rsidTr="00E6151B">
        <w:tc>
          <w:tcPr>
            <w:tcW w:w="2273" w:type="dxa"/>
          </w:tcPr>
          <w:p w14:paraId="62009F19" w14:textId="557DF230" w:rsidR="0018740C" w:rsidRPr="00F00AE4" w:rsidRDefault="00936BC2" w:rsidP="0866ED51">
            <w:pPr>
              <w:rPr>
                <w:b/>
                <w:bCs/>
              </w:rPr>
            </w:pPr>
            <w:r w:rsidRPr="00F00AE4">
              <w:rPr>
                <w:b/>
                <w:bCs/>
              </w:rPr>
              <w:t>Total</w:t>
            </w:r>
          </w:p>
        </w:tc>
        <w:tc>
          <w:tcPr>
            <w:tcW w:w="1777" w:type="dxa"/>
          </w:tcPr>
          <w:p w14:paraId="4CE473D3" w14:textId="19E90C0D" w:rsidR="0018740C" w:rsidRPr="00F00AE4" w:rsidRDefault="00936BC2" w:rsidP="00E6151B">
            <w:pPr>
              <w:jc w:val="center"/>
              <w:rPr>
                <w:b/>
                <w:bCs/>
              </w:rPr>
            </w:pPr>
            <w:r w:rsidRPr="00F00AE4">
              <w:rPr>
                <w:b/>
                <w:bCs/>
              </w:rPr>
              <w:t>100</w:t>
            </w:r>
          </w:p>
        </w:tc>
        <w:tc>
          <w:tcPr>
            <w:tcW w:w="2040" w:type="dxa"/>
          </w:tcPr>
          <w:p w14:paraId="733C3526" w14:textId="77777777" w:rsidR="0018740C" w:rsidRDefault="0018740C" w:rsidP="0866ED51">
            <w:pPr>
              <w:rPr>
                <w:b/>
                <w:bCs/>
                <w:u w:val="single"/>
              </w:rPr>
            </w:pPr>
          </w:p>
        </w:tc>
        <w:tc>
          <w:tcPr>
            <w:tcW w:w="1850" w:type="dxa"/>
          </w:tcPr>
          <w:p w14:paraId="67CFE84A" w14:textId="77777777" w:rsidR="0018740C" w:rsidRDefault="0018740C" w:rsidP="0866ED51">
            <w:pPr>
              <w:rPr>
                <w:b/>
                <w:bCs/>
                <w:u w:val="single"/>
              </w:rPr>
            </w:pPr>
          </w:p>
        </w:tc>
        <w:tc>
          <w:tcPr>
            <w:tcW w:w="2320" w:type="dxa"/>
          </w:tcPr>
          <w:p w14:paraId="2E0F57E5" w14:textId="77777777" w:rsidR="0018740C" w:rsidRDefault="0018740C" w:rsidP="0866ED51">
            <w:pPr>
              <w:rPr>
                <w:b/>
                <w:bCs/>
                <w:u w:val="single"/>
              </w:rPr>
            </w:pPr>
          </w:p>
        </w:tc>
      </w:tr>
    </w:tbl>
    <w:p w14:paraId="17A381BE" w14:textId="77777777" w:rsidR="0018740C" w:rsidRDefault="0018740C" w:rsidP="0866ED51">
      <w:pPr>
        <w:rPr>
          <w:b/>
          <w:bCs/>
          <w:u w:val="single"/>
        </w:rPr>
      </w:pPr>
    </w:p>
    <w:tbl>
      <w:tblPr>
        <w:tblStyle w:val="TableGrid"/>
        <w:tblW w:w="10260" w:type="dxa"/>
        <w:tblInd w:w="-365" w:type="dxa"/>
        <w:tblLook w:val="04A0" w:firstRow="1" w:lastRow="0" w:firstColumn="1" w:lastColumn="0" w:noHBand="0" w:noVBand="1"/>
      </w:tblPr>
      <w:tblGrid>
        <w:gridCol w:w="2279"/>
        <w:gridCol w:w="1775"/>
        <w:gridCol w:w="2039"/>
        <w:gridCol w:w="1850"/>
        <w:gridCol w:w="2317"/>
      </w:tblGrid>
      <w:tr w:rsidR="00F00AE4" w14:paraId="29647C73" w14:textId="77777777" w:rsidTr="00C2677A">
        <w:trPr>
          <w:trHeight w:val="575"/>
        </w:trPr>
        <w:tc>
          <w:tcPr>
            <w:tcW w:w="10260" w:type="dxa"/>
            <w:gridSpan w:val="5"/>
            <w:vAlign w:val="center"/>
          </w:tcPr>
          <w:p w14:paraId="2B1D9832" w14:textId="6D09E9BF" w:rsidR="00F00AE4" w:rsidRPr="00780A9C" w:rsidRDefault="00F00AE4" w:rsidP="00C2677A">
            <w:pPr>
              <w:jc w:val="center"/>
              <w:rPr>
                <w:b/>
                <w:bCs/>
                <w:sz w:val="28"/>
                <w:szCs w:val="28"/>
              </w:rPr>
            </w:pPr>
            <w:r>
              <w:rPr>
                <w:b/>
                <w:bCs/>
                <w:sz w:val="28"/>
                <w:szCs w:val="28"/>
              </w:rPr>
              <w:t>Division Needs</w:t>
            </w:r>
            <w:r w:rsidRPr="00780A9C">
              <w:rPr>
                <w:b/>
                <w:bCs/>
                <w:sz w:val="28"/>
                <w:szCs w:val="28"/>
              </w:rPr>
              <w:t xml:space="preserve"> Scoring</w:t>
            </w:r>
          </w:p>
        </w:tc>
      </w:tr>
      <w:tr w:rsidR="00F00AE4" w14:paraId="3802B335" w14:textId="77777777" w:rsidTr="00C2677A">
        <w:trPr>
          <w:trHeight w:val="485"/>
        </w:trPr>
        <w:tc>
          <w:tcPr>
            <w:tcW w:w="2273" w:type="dxa"/>
            <w:shd w:val="clear" w:color="auto" w:fill="F6C5AC" w:themeFill="accent2" w:themeFillTint="66"/>
            <w:vAlign w:val="center"/>
          </w:tcPr>
          <w:p w14:paraId="0F0709CB" w14:textId="77777777" w:rsidR="00F00AE4" w:rsidRPr="00780A9C" w:rsidRDefault="00F00AE4" w:rsidP="00C2677A">
            <w:pPr>
              <w:jc w:val="center"/>
            </w:pPr>
            <w:r w:rsidRPr="00780A9C">
              <w:t>CRITERIA</w:t>
            </w:r>
          </w:p>
        </w:tc>
        <w:tc>
          <w:tcPr>
            <w:tcW w:w="1777" w:type="dxa"/>
            <w:shd w:val="clear" w:color="auto" w:fill="F6C5AC" w:themeFill="accent2" w:themeFillTint="66"/>
            <w:vAlign w:val="center"/>
          </w:tcPr>
          <w:p w14:paraId="1C0F6533" w14:textId="77777777" w:rsidR="00F00AE4" w:rsidRPr="00780A9C" w:rsidRDefault="00F00AE4" w:rsidP="00C2677A">
            <w:pPr>
              <w:jc w:val="center"/>
            </w:pPr>
            <w:r w:rsidRPr="00780A9C">
              <w:t>MAX SCORE</w:t>
            </w:r>
          </w:p>
        </w:tc>
        <w:tc>
          <w:tcPr>
            <w:tcW w:w="6210" w:type="dxa"/>
            <w:gridSpan w:val="3"/>
            <w:shd w:val="clear" w:color="auto" w:fill="F6C5AC" w:themeFill="accent2" w:themeFillTint="66"/>
            <w:vAlign w:val="center"/>
          </w:tcPr>
          <w:p w14:paraId="15AA0EB3" w14:textId="6DAB7821" w:rsidR="00F00AE4" w:rsidRPr="00780A9C" w:rsidRDefault="00F00AE4" w:rsidP="00C2677A">
            <w:pPr>
              <w:jc w:val="center"/>
            </w:pPr>
            <w:r w:rsidRPr="00780A9C">
              <w:t xml:space="preserve">POINTS ALLOCATED TOWARD </w:t>
            </w:r>
            <w:r>
              <w:t>DIVISION</w:t>
            </w:r>
            <w:r w:rsidRPr="00780A9C">
              <w:t xml:space="preserve"> IMPACT SCORE</w:t>
            </w:r>
          </w:p>
        </w:tc>
      </w:tr>
      <w:tr w:rsidR="00F00AE4" w14:paraId="286CE3D2" w14:textId="77777777" w:rsidTr="00CC4D46">
        <w:tc>
          <w:tcPr>
            <w:tcW w:w="2273" w:type="dxa"/>
          </w:tcPr>
          <w:p w14:paraId="5AA1CB59" w14:textId="13D73CD8" w:rsidR="00F00AE4" w:rsidRPr="00F00AE4" w:rsidRDefault="00F00AE4" w:rsidP="00C2677A">
            <w:pPr>
              <w:rPr>
                <w:b/>
                <w:bCs/>
                <w:i/>
                <w:iCs/>
              </w:rPr>
            </w:pPr>
            <w:r w:rsidRPr="00F00AE4">
              <w:rPr>
                <w:b/>
                <w:bCs/>
                <w:i/>
                <w:iCs/>
              </w:rPr>
              <w:t xml:space="preserve">Quantitative Score – </w:t>
            </w:r>
            <w:r>
              <w:rPr>
                <w:b/>
                <w:bCs/>
                <w:i/>
                <w:iCs/>
              </w:rPr>
              <w:t>Division</w:t>
            </w:r>
          </w:p>
        </w:tc>
        <w:tc>
          <w:tcPr>
            <w:tcW w:w="1777" w:type="dxa"/>
          </w:tcPr>
          <w:p w14:paraId="0C030009" w14:textId="7BC4523C" w:rsidR="00F00AE4" w:rsidRPr="0018740C" w:rsidRDefault="00F00AE4" w:rsidP="00C2677A">
            <w:pPr>
              <w:jc w:val="center"/>
            </w:pPr>
            <w:r>
              <w:t>50</w:t>
            </w:r>
          </w:p>
        </w:tc>
        <w:tc>
          <w:tcPr>
            <w:tcW w:w="6210" w:type="dxa"/>
            <w:gridSpan w:val="3"/>
            <w:vAlign w:val="center"/>
          </w:tcPr>
          <w:p w14:paraId="6A24FF8E" w14:textId="77777777" w:rsidR="00F00AE4" w:rsidRPr="0018740C" w:rsidRDefault="00F00AE4" w:rsidP="00CC4D46">
            <w:pPr>
              <w:jc w:val="center"/>
            </w:pPr>
            <w:r>
              <w:t>Prioritization 8.0 Quantitative Score – Regional Impact</w:t>
            </w:r>
          </w:p>
        </w:tc>
      </w:tr>
      <w:tr w:rsidR="00F00AE4" w14:paraId="30A5901F" w14:textId="77777777" w:rsidTr="00C2677A">
        <w:tc>
          <w:tcPr>
            <w:tcW w:w="2273" w:type="dxa"/>
          </w:tcPr>
          <w:p w14:paraId="746CC514" w14:textId="77777777" w:rsidR="00F00AE4" w:rsidRPr="00F00AE4" w:rsidRDefault="00F00AE4" w:rsidP="00C2677A">
            <w:pPr>
              <w:rPr>
                <w:b/>
                <w:bCs/>
                <w:i/>
                <w:iCs/>
              </w:rPr>
            </w:pPr>
            <w:r w:rsidRPr="00F00AE4">
              <w:rPr>
                <w:b/>
                <w:bCs/>
                <w:i/>
                <w:iCs/>
              </w:rPr>
              <w:t>Local Priority</w:t>
            </w:r>
          </w:p>
        </w:tc>
        <w:tc>
          <w:tcPr>
            <w:tcW w:w="1777" w:type="dxa"/>
          </w:tcPr>
          <w:p w14:paraId="0BD18FA6" w14:textId="4DE5F7F2" w:rsidR="00F00AE4" w:rsidRPr="00936BC2" w:rsidRDefault="00420F86" w:rsidP="00C2677A">
            <w:pPr>
              <w:jc w:val="center"/>
            </w:pPr>
            <w:r>
              <w:t>4</w:t>
            </w:r>
            <w:r w:rsidR="00F00AE4">
              <w:t>0</w:t>
            </w:r>
          </w:p>
        </w:tc>
        <w:tc>
          <w:tcPr>
            <w:tcW w:w="2040" w:type="dxa"/>
          </w:tcPr>
          <w:p w14:paraId="01807EB1" w14:textId="77777777" w:rsidR="00F00AE4" w:rsidRDefault="00F00AE4" w:rsidP="00C2677A">
            <w:r>
              <w:t>Priority #3</w:t>
            </w:r>
          </w:p>
          <w:p w14:paraId="3989064C" w14:textId="08583A0C" w:rsidR="00F00AE4" w:rsidRPr="00E6151B" w:rsidRDefault="006207B8" w:rsidP="00C2677A">
            <w:pPr>
              <w:rPr>
                <w:b/>
                <w:bCs/>
              </w:rPr>
            </w:pPr>
            <w:r>
              <w:rPr>
                <w:b/>
                <w:bCs/>
              </w:rPr>
              <w:t>2</w:t>
            </w:r>
            <w:r w:rsidR="00F00AE4" w:rsidRPr="00E6151B">
              <w:rPr>
                <w:b/>
                <w:bCs/>
              </w:rPr>
              <w:t>0 Points</w:t>
            </w:r>
          </w:p>
        </w:tc>
        <w:tc>
          <w:tcPr>
            <w:tcW w:w="1850" w:type="dxa"/>
          </w:tcPr>
          <w:p w14:paraId="58C35BB7" w14:textId="77777777" w:rsidR="00F00AE4" w:rsidRDefault="00F00AE4" w:rsidP="00C2677A">
            <w:r>
              <w:t>Priority #2</w:t>
            </w:r>
          </w:p>
          <w:p w14:paraId="59A25312" w14:textId="438476C9" w:rsidR="00F00AE4" w:rsidRPr="00E6151B" w:rsidRDefault="00420F86" w:rsidP="00C2677A">
            <w:pPr>
              <w:rPr>
                <w:b/>
                <w:bCs/>
              </w:rPr>
            </w:pPr>
            <w:r>
              <w:rPr>
                <w:b/>
                <w:bCs/>
              </w:rPr>
              <w:t>30</w:t>
            </w:r>
            <w:r w:rsidR="00F00AE4" w:rsidRPr="00E6151B">
              <w:rPr>
                <w:b/>
                <w:bCs/>
              </w:rPr>
              <w:t xml:space="preserve"> Points</w:t>
            </w:r>
          </w:p>
        </w:tc>
        <w:tc>
          <w:tcPr>
            <w:tcW w:w="2320" w:type="dxa"/>
          </w:tcPr>
          <w:p w14:paraId="4359C057" w14:textId="77777777" w:rsidR="00F00AE4" w:rsidRDefault="00F00AE4" w:rsidP="00C2677A">
            <w:r>
              <w:t>Priority #1</w:t>
            </w:r>
          </w:p>
          <w:p w14:paraId="6534AB89" w14:textId="0207CE4C" w:rsidR="00F00AE4" w:rsidRPr="00E6151B" w:rsidRDefault="00420F86" w:rsidP="00C2677A">
            <w:pPr>
              <w:rPr>
                <w:b/>
                <w:bCs/>
              </w:rPr>
            </w:pPr>
            <w:r>
              <w:rPr>
                <w:b/>
                <w:bCs/>
              </w:rPr>
              <w:t>4</w:t>
            </w:r>
            <w:r w:rsidR="00F00AE4" w:rsidRPr="00E6151B">
              <w:rPr>
                <w:b/>
                <w:bCs/>
              </w:rPr>
              <w:t>0 Points</w:t>
            </w:r>
          </w:p>
        </w:tc>
      </w:tr>
      <w:tr w:rsidR="00F00AE4" w14:paraId="70D83FA4" w14:textId="77777777" w:rsidTr="00C2677A">
        <w:tc>
          <w:tcPr>
            <w:tcW w:w="2273" w:type="dxa"/>
          </w:tcPr>
          <w:p w14:paraId="5A96B792" w14:textId="77777777" w:rsidR="00F00AE4" w:rsidRPr="00F00AE4" w:rsidRDefault="00F00AE4" w:rsidP="00C2677A">
            <w:pPr>
              <w:rPr>
                <w:b/>
                <w:bCs/>
                <w:i/>
                <w:iCs/>
              </w:rPr>
            </w:pPr>
            <w:r w:rsidRPr="00F00AE4">
              <w:rPr>
                <w:b/>
                <w:bCs/>
                <w:i/>
                <w:iCs/>
              </w:rPr>
              <w:t>Project Development/Plan Consistency</w:t>
            </w:r>
          </w:p>
        </w:tc>
        <w:tc>
          <w:tcPr>
            <w:tcW w:w="1777" w:type="dxa"/>
          </w:tcPr>
          <w:p w14:paraId="630D52B9" w14:textId="0A65EB57" w:rsidR="00F00AE4" w:rsidRPr="00936BC2" w:rsidRDefault="00420F86" w:rsidP="00C2677A">
            <w:pPr>
              <w:jc w:val="center"/>
            </w:pPr>
            <w:r>
              <w:t>1</w:t>
            </w:r>
            <w:r w:rsidR="00F00AE4">
              <w:t>0</w:t>
            </w:r>
          </w:p>
        </w:tc>
        <w:tc>
          <w:tcPr>
            <w:tcW w:w="2040" w:type="dxa"/>
          </w:tcPr>
          <w:p w14:paraId="112B789F" w14:textId="77777777" w:rsidR="00F00AE4" w:rsidRPr="00E6151B" w:rsidRDefault="00F00AE4" w:rsidP="00C2677A">
            <w:pPr>
              <w:rPr>
                <w:b/>
                <w:bCs/>
              </w:rPr>
            </w:pPr>
            <w:r w:rsidRPr="00E6151B">
              <w:rPr>
                <w:b/>
                <w:bCs/>
              </w:rPr>
              <w:t>1 Point</w:t>
            </w:r>
            <w:r>
              <w:rPr>
                <w:b/>
                <w:bCs/>
              </w:rPr>
              <w:t>:</w:t>
            </w:r>
          </w:p>
          <w:p w14:paraId="4BBF3770" w14:textId="77777777" w:rsidR="00F00AE4" w:rsidRPr="00FE3156" w:rsidRDefault="00F00AE4" w:rsidP="00C2677A">
            <w:r>
              <w:t>-Feasibility Study or Express Design completed within last 5 years</w:t>
            </w:r>
          </w:p>
        </w:tc>
        <w:tc>
          <w:tcPr>
            <w:tcW w:w="1850" w:type="dxa"/>
          </w:tcPr>
          <w:p w14:paraId="01BEAF10" w14:textId="77777777" w:rsidR="00F00AE4" w:rsidRPr="00E6151B" w:rsidRDefault="00F00AE4" w:rsidP="00C2677A">
            <w:pPr>
              <w:rPr>
                <w:b/>
                <w:bCs/>
              </w:rPr>
            </w:pPr>
            <w:r w:rsidRPr="00E6151B">
              <w:rPr>
                <w:b/>
                <w:bCs/>
              </w:rPr>
              <w:t>3 Points</w:t>
            </w:r>
            <w:r>
              <w:rPr>
                <w:b/>
                <w:bCs/>
              </w:rPr>
              <w:t>:</w:t>
            </w:r>
          </w:p>
          <w:p w14:paraId="0B4EB775" w14:textId="77777777" w:rsidR="00F00AE4" w:rsidRDefault="00F00AE4" w:rsidP="00C2677A">
            <w:r>
              <w:t>-Project includes Complete Streets or multi-modal transportation</w:t>
            </w:r>
          </w:p>
          <w:p w14:paraId="65E0B149" w14:textId="77777777" w:rsidR="00F00AE4" w:rsidRPr="004778FE" w:rsidRDefault="00F00AE4" w:rsidP="00C2677A">
            <w:r>
              <w:t>-Sibling project is committed in current STIP</w:t>
            </w:r>
          </w:p>
        </w:tc>
        <w:tc>
          <w:tcPr>
            <w:tcW w:w="2320" w:type="dxa"/>
          </w:tcPr>
          <w:p w14:paraId="77FE2DAD" w14:textId="77777777" w:rsidR="00F00AE4" w:rsidRPr="00E6151B" w:rsidRDefault="00F00AE4" w:rsidP="00C2677A">
            <w:pPr>
              <w:rPr>
                <w:b/>
                <w:bCs/>
              </w:rPr>
            </w:pPr>
            <w:r w:rsidRPr="00E6151B">
              <w:rPr>
                <w:b/>
                <w:bCs/>
              </w:rPr>
              <w:t>5 Points</w:t>
            </w:r>
            <w:r>
              <w:rPr>
                <w:b/>
                <w:bCs/>
              </w:rPr>
              <w:t>:</w:t>
            </w:r>
          </w:p>
          <w:p w14:paraId="6D2B338A" w14:textId="77777777" w:rsidR="00F00AE4" w:rsidRDefault="00F00AE4" w:rsidP="00C2677A">
            <w:r>
              <w:t>-Project is in a locally adopted plan</w:t>
            </w:r>
          </w:p>
          <w:p w14:paraId="2D653257" w14:textId="77777777" w:rsidR="00F00AE4" w:rsidRDefault="00F00AE4" w:rsidP="00C2677A">
            <w:r>
              <w:t>-Safety Score is at least 50</w:t>
            </w:r>
          </w:p>
          <w:p w14:paraId="1E48FB2A" w14:textId="77777777" w:rsidR="00F00AE4" w:rsidRPr="004B5019" w:rsidRDefault="00F00AE4" w:rsidP="00C2677A"/>
        </w:tc>
      </w:tr>
      <w:tr w:rsidR="00F00AE4" w14:paraId="57C47BE3" w14:textId="77777777" w:rsidTr="00C2677A">
        <w:tc>
          <w:tcPr>
            <w:tcW w:w="2273" w:type="dxa"/>
          </w:tcPr>
          <w:p w14:paraId="330E5810" w14:textId="77777777" w:rsidR="00F00AE4" w:rsidRPr="00F00AE4" w:rsidRDefault="00F00AE4" w:rsidP="00C2677A">
            <w:pPr>
              <w:rPr>
                <w:b/>
                <w:bCs/>
              </w:rPr>
            </w:pPr>
            <w:r w:rsidRPr="00F00AE4">
              <w:rPr>
                <w:b/>
                <w:bCs/>
              </w:rPr>
              <w:t>Total</w:t>
            </w:r>
          </w:p>
        </w:tc>
        <w:tc>
          <w:tcPr>
            <w:tcW w:w="1777" w:type="dxa"/>
          </w:tcPr>
          <w:p w14:paraId="48551D6D" w14:textId="77777777" w:rsidR="00F00AE4" w:rsidRPr="00F00AE4" w:rsidRDefault="00F00AE4" w:rsidP="00C2677A">
            <w:pPr>
              <w:jc w:val="center"/>
              <w:rPr>
                <w:b/>
                <w:bCs/>
              </w:rPr>
            </w:pPr>
            <w:r w:rsidRPr="00F00AE4">
              <w:rPr>
                <w:b/>
                <w:bCs/>
              </w:rPr>
              <w:t>100</w:t>
            </w:r>
          </w:p>
        </w:tc>
        <w:tc>
          <w:tcPr>
            <w:tcW w:w="2040" w:type="dxa"/>
          </w:tcPr>
          <w:p w14:paraId="0456C09C" w14:textId="77777777" w:rsidR="00F00AE4" w:rsidRDefault="00F00AE4" w:rsidP="00C2677A">
            <w:pPr>
              <w:rPr>
                <w:b/>
                <w:bCs/>
                <w:u w:val="single"/>
              </w:rPr>
            </w:pPr>
          </w:p>
        </w:tc>
        <w:tc>
          <w:tcPr>
            <w:tcW w:w="1850" w:type="dxa"/>
          </w:tcPr>
          <w:p w14:paraId="0F27C444" w14:textId="77777777" w:rsidR="00F00AE4" w:rsidRDefault="00F00AE4" w:rsidP="00C2677A">
            <w:pPr>
              <w:rPr>
                <w:b/>
                <w:bCs/>
                <w:u w:val="single"/>
              </w:rPr>
            </w:pPr>
          </w:p>
        </w:tc>
        <w:tc>
          <w:tcPr>
            <w:tcW w:w="2320" w:type="dxa"/>
          </w:tcPr>
          <w:p w14:paraId="03A122E6" w14:textId="77777777" w:rsidR="00F00AE4" w:rsidRDefault="00F00AE4" w:rsidP="00C2677A">
            <w:pPr>
              <w:rPr>
                <w:b/>
                <w:bCs/>
                <w:u w:val="single"/>
              </w:rPr>
            </w:pPr>
          </w:p>
        </w:tc>
      </w:tr>
    </w:tbl>
    <w:p w14:paraId="756215B4" w14:textId="77777777" w:rsidR="007A44F2" w:rsidRDefault="007A44F2" w:rsidP="0866ED51">
      <w:pPr>
        <w:rPr>
          <w:b/>
          <w:bCs/>
          <w:u w:val="single"/>
        </w:rPr>
      </w:pPr>
    </w:p>
    <w:p w14:paraId="0672F162" w14:textId="6CD29E6E" w:rsidR="0866ED51" w:rsidRDefault="0866ED51">
      <w:r>
        <w:br w:type="page"/>
      </w:r>
    </w:p>
    <w:p w14:paraId="1EB64F16" w14:textId="732AD790" w:rsidR="4F6423AF" w:rsidRDefault="4F6423AF" w:rsidP="0866ED51">
      <w:pPr>
        <w:rPr>
          <w:b/>
          <w:bCs/>
          <w:u w:val="single"/>
        </w:rPr>
      </w:pPr>
      <w:r w:rsidRPr="0866ED51">
        <w:rPr>
          <w:b/>
          <w:bCs/>
          <w:u w:val="single"/>
        </w:rPr>
        <w:lastRenderedPageBreak/>
        <w:t>Local Input Points Assignment Process</w:t>
      </w:r>
    </w:p>
    <w:p w14:paraId="2745B40C" w14:textId="7EC7FC99" w:rsidR="00256B6B" w:rsidRPr="00256B6B" w:rsidRDefault="00256B6B" w:rsidP="00256B6B">
      <w:r w:rsidRPr="00256B6B">
        <w:t xml:space="preserve">Once all projects have been scored using the criteria above, </w:t>
      </w:r>
      <w:r>
        <w:t>F</w:t>
      </w:r>
      <w:r w:rsidRPr="00256B6B">
        <w:t xml:space="preserve">RPO staff will rank the projects from highest to lowest within each county and within the RPO as a whole. This ranked list will be used to develop the recommended point assignments that are presented to the public for comment and to the TCC and TAC for approval. The final local point assignments will be adopted by the TAC and submitted to NCDOT. </w:t>
      </w:r>
    </w:p>
    <w:p w14:paraId="3D6E0144" w14:textId="477E5A15" w:rsidR="4F6423AF" w:rsidRDefault="4F6423AF" w:rsidP="0866ED51">
      <w:r>
        <w:t xml:space="preserve">Foothills RPO receives 1300 points at the Regional Level and 1300 points at the Division Level to allocate to projects for local prioritization. The maximum number of points any </w:t>
      </w:r>
      <w:r w:rsidR="4369B010">
        <w:t>project</w:t>
      </w:r>
      <w:r>
        <w:t xml:space="preserve"> can receive is 100. </w:t>
      </w:r>
    </w:p>
    <w:p w14:paraId="2BB69D05" w14:textId="1764DDD7" w:rsidR="00256B6B" w:rsidRDefault="00256B6B" w:rsidP="0866ED51">
      <w:pPr>
        <w:rPr>
          <w:b/>
          <w:bCs/>
          <w:i/>
          <w:iCs/>
        </w:rPr>
      </w:pPr>
      <w:r w:rsidRPr="00256B6B">
        <w:rPr>
          <w:b/>
          <w:bCs/>
          <w:i/>
          <w:iCs/>
        </w:rPr>
        <w:t>Statewide Mobility Funding Category</w:t>
      </w:r>
    </w:p>
    <w:p w14:paraId="0BB5B311" w14:textId="75DEDCA8" w:rsidR="00066143" w:rsidRPr="00066143" w:rsidRDefault="00066143" w:rsidP="00066143">
      <w:r w:rsidRPr="00066143">
        <w:t xml:space="preserve">Statewide projects are programmed based solely on the NCDOT quantitative score. Any projects funded at the statewide category will be removed from the process before the </w:t>
      </w:r>
      <w:r>
        <w:t>F</w:t>
      </w:r>
      <w:r w:rsidRPr="00066143">
        <w:t>RPO assigns local input points.</w:t>
      </w:r>
    </w:p>
    <w:p w14:paraId="0E2DF55E" w14:textId="77777777" w:rsidR="003D2986" w:rsidRPr="003D2986" w:rsidRDefault="003D2986" w:rsidP="003D2986">
      <w:pPr>
        <w:rPr>
          <w:bCs/>
          <w:i/>
          <w:iCs/>
        </w:rPr>
      </w:pPr>
      <w:r w:rsidRPr="003D2986">
        <w:rPr>
          <w:b/>
          <w:i/>
          <w:iCs/>
        </w:rPr>
        <w:t>Regional Impact Point Assignments:</w:t>
      </w:r>
      <w:r w:rsidRPr="003D2986">
        <w:rPr>
          <w:bCs/>
          <w:i/>
          <w:iCs/>
        </w:rPr>
        <w:t xml:space="preserve">  </w:t>
      </w:r>
    </w:p>
    <w:p w14:paraId="142AC47C" w14:textId="39F837FC" w:rsidR="003D2986" w:rsidRPr="003D2986" w:rsidRDefault="003D2986" w:rsidP="003D2986">
      <w:r w:rsidRPr="003D2986">
        <w:t xml:space="preserve">Any projects in the Statewide category that are not funded at the Statewide category will cascade down and be available for local point assignments at the Regional category. The </w:t>
      </w:r>
      <w:r w:rsidR="008C56AA">
        <w:t>four</w:t>
      </w:r>
      <w:r w:rsidRPr="003D2986">
        <w:t xml:space="preserve"> top-scoring Regional projects within each of our </w:t>
      </w:r>
      <w:r w:rsidR="00E116CB">
        <w:t>three</w:t>
      </w:r>
      <w:r w:rsidRPr="003D2986">
        <w:t xml:space="preserve"> counties will be initially assigned 100 points each, which will account for </w:t>
      </w:r>
      <w:r w:rsidR="0076120D">
        <w:t>12</w:t>
      </w:r>
      <w:r w:rsidRPr="003D2986">
        <w:t xml:space="preserve">00 of the 1300 available points. The remaining 100 points will be assigned to the next highest scoring project according to the </w:t>
      </w:r>
      <w:r w:rsidR="0076120D">
        <w:t>F</w:t>
      </w:r>
      <w:r w:rsidRPr="003D2986">
        <w:t>RPO methodology, regardless of location. Any projects that are programmed at the Regional category will be removed from the process prior to assigning Division Needs points.</w:t>
      </w:r>
    </w:p>
    <w:p w14:paraId="70118555" w14:textId="77777777" w:rsidR="00E50E84" w:rsidRPr="00E50E84" w:rsidRDefault="00E50E84" w:rsidP="00E50E84">
      <w:pPr>
        <w:rPr>
          <w:b/>
          <w:bCs/>
        </w:rPr>
      </w:pPr>
      <w:r w:rsidRPr="00E50E84">
        <w:rPr>
          <w:b/>
          <w:i/>
          <w:iCs/>
        </w:rPr>
        <w:t>Division Needs Point Assignments:</w:t>
      </w:r>
      <w:r w:rsidRPr="00E50E84">
        <w:rPr>
          <w:bCs/>
          <w:i/>
          <w:iCs/>
        </w:rPr>
        <w:t xml:space="preserve"> </w:t>
      </w:r>
      <w:r w:rsidRPr="00E50E84">
        <w:rPr>
          <w:b/>
          <w:bCs/>
        </w:rPr>
        <w:t xml:space="preserve"> </w:t>
      </w:r>
    </w:p>
    <w:p w14:paraId="6B350CE1" w14:textId="77777777" w:rsidR="00E50E84" w:rsidRPr="00E50E84" w:rsidRDefault="00E50E84" w:rsidP="00E50E84">
      <w:r w:rsidRPr="00E50E84">
        <w:t>All projects not funded at the Statewide Mobility and Regional Impact categories will cascade down and be eligible for Division Needs Local Input Points along with the Division Needs category projects. Projects involving public transit, bicycle and pedestrian transportation, aviation, and rail are evaluated at the Division level in addition to highway projects on secondary routes.</w:t>
      </w:r>
    </w:p>
    <w:p w14:paraId="6D3C0F71" w14:textId="59836D4C" w:rsidR="00E50E84" w:rsidRPr="00E50E84" w:rsidRDefault="00E50E84" w:rsidP="00E50E84">
      <w:r w:rsidRPr="00E50E84">
        <w:t xml:space="preserve">The </w:t>
      </w:r>
      <w:r w:rsidR="00745899">
        <w:t>four</w:t>
      </w:r>
      <w:r w:rsidRPr="00E50E84">
        <w:t xml:space="preserve"> top-scoring projects within each of our </w:t>
      </w:r>
      <w:r>
        <w:t>three</w:t>
      </w:r>
      <w:r w:rsidRPr="00E50E84">
        <w:t xml:space="preserve"> counties will be initially assigned 100 points each, which will account for 1200 of the 1300 available points. If a non-highway project receives points from the initial 1200 allotment, the remaining 100 points will be assigned to the next highest scoring project, regardless of mode and location.  However, if the initial 1200 points are all assigned to highway projects, the last 100 points will be </w:t>
      </w:r>
      <w:r w:rsidRPr="00E50E84">
        <w:lastRenderedPageBreak/>
        <w:t xml:space="preserve">assigned to the highest scoring non-highway project that is also supported by the local government. No local points will be assigned to any project requiring local match if the local government expresses no commitment to provide the required match. </w:t>
      </w:r>
    </w:p>
    <w:p w14:paraId="5396930E" w14:textId="77777777" w:rsidR="00BF766D" w:rsidRPr="00BF766D" w:rsidRDefault="00BF766D" w:rsidP="00BF766D">
      <w:pPr>
        <w:rPr>
          <w:b/>
          <w:i/>
          <w:iCs/>
        </w:rPr>
      </w:pPr>
      <w:r w:rsidRPr="00BF766D">
        <w:rPr>
          <w:b/>
          <w:i/>
          <w:iCs/>
        </w:rPr>
        <w:t>Tied Scores:</w:t>
      </w:r>
    </w:p>
    <w:p w14:paraId="52946011" w14:textId="2D17FDD6" w:rsidR="00BF766D" w:rsidRPr="00BF766D" w:rsidRDefault="00BF766D" w:rsidP="00BF766D">
      <w:r w:rsidRPr="00BF766D">
        <w:t xml:space="preserve">In the event scores are tied, the </w:t>
      </w:r>
      <w:r>
        <w:t>F</w:t>
      </w:r>
      <w:r w:rsidRPr="00BF766D">
        <w:t xml:space="preserve">RPO will work with the </w:t>
      </w:r>
      <w:r>
        <w:t xml:space="preserve">correlating </w:t>
      </w:r>
      <w:r w:rsidRPr="00BF766D">
        <w:t>Divisio</w:t>
      </w:r>
      <w:r>
        <w:t xml:space="preserve">n </w:t>
      </w:r>
      <w:r w:rsidRPr="00BF766D">
        <w:t xml:space="preserve">Engineer to align Division priorities with RPO priorities and ensure mutual needs are prioritized appropriately. If only one of the tied projects will also be receiving points from the Division Engineer, that project will be awarded the RPO points.  However, if both or neither of the projects will be receiving Division points, the project with the highest NCDOT quantitative score will receive the RPO points. </w:t>
      </w:r>
    </w:p>
    <w:p w14:paraId="72CEB574" w14:textId="77777777" w:rsidR="00BE0FC0" w:rsidRPr="00BE0FC0" w:rsidRDefault="00BE0FC0" w:rsidP="00BE0FC0">
      <w:pPr>
        <w:rPr>
          <w:b/>
          <w:i/>
          <w:iCs/>
        </w:rPr>
      </w:pPr>
      <w:r w:rsidRPr="00BE0FC0">
        <w:rPr>
          <w:b/>
          <w:i/>
          <w:iCs/>
        </w:rPr>
        <w:t>Deviations from Methodology:</w:t>
      </w:r>
    </w:p>
    <w:p w14:paraId="2A8AD640" w14:textId="737F6DA3" w:rsidR="0866ED51" w:rsidRDefault="00BE0FC0" w:rsidP="0866ED51">
      <w:r w:rsidRPr="00BE0FC0">
        <w:t xml:space="preserve">The </w:t>
      </w:r>
      <w:r>
        <w:t>F</w:t>
      </w:r>
      <w:r w:rsidRPr="00BE0FC0">
        <w:t>RPO TAC may modify final point assignments to provide local oversight to the data-driven process, to better align county priorities with the priorities of the RPO</w:t>
      </w:r>
      <w:r>
        <w:t xml:space="preserve">, Division 13, and </w:t>
      </w:r>
      <w:r w:rsidRPr="00BE0FC0">
        <w:t xml:space="preserve">Division 14 and to ensure appropriate projects at the relevant funding category. Any variations in point assignments from the initial point assignments will be justified and documented. Potential justifications may include project cost, estimated points required for funding, geographic equity, distribution between modes, new information, and public comment.  Final Local Input Point assignments and any justification/rationale for point assignments which deviate from this Local Methodology will be posted on the </w:t>
      </w:r>
      <w:r w:rsidR="00942D02">
        <w:t>F</w:t>
      </w:r>
      <w:r w:rsidRPr="00BE0FC0">
        <w:t xml:space="preserve">RPO website: </w:t>
      </w:r>
      <w:r w:rsidR="00942D02" w:rsidRPr="00942D02">
        <w:t>https://frcnc.gov/regional-development/isothermal-rural-planning-organization-rpo/prioritization/</w:t>
      </w:r>
      <w:r w:rsidR="00942D02">
        <w:t>.</w:t>
      </w:r>
    </w:p>
    <w:p w14:paraId="55846BF6" w14:textId="77777777" w:rsidR="005276D4" w:rsidRDefault="005276D4">
      <w:pPr>
        <w:rPr>
          <w:b/>
          <w:bCs/>
          <w:u w:val="single"/>
        </w:rPr>
      </w:pPr>
      <w:r>
        <w:rPr>
          <w:b/>
          <w:bCs/>
          <w:u w:val="single"/>
        </w:rPr>
        <w:br w:type="page"/>
      </w:r>
    </w:p>
    <w:p w14:paraId="122F6DBF" w14:textId="1989C62D" w:rsidR="7AFA3766" w:rsidRDefault="7AFA3766" w:rsidP="0866ED51">
      <w:pPr>
        <w:rPr>
          <w:b/>
          <w:bCs/>
          <w:u w:val="single"/>
        </w:rPr>
      </w:pPr>
      <w:r w:rsidRPr="0866ED51">
        <w:rPr>
          <w:b/>
          <w:bCs/>
          <w:u w:val="single"/>
        </w:rPr>
        <w:lastRenderedPageBreak/>
        <w:t>Public Input Process</w:t>
      </w:r>
    </w:p>
    <w:p w14:paraId="1806A0AA" w14:textId="75FEF2C4" w:rsidR="00FB79A3" w:rsidRPr="00FB79A3" w:rsidRDefault="00FB79A3" w:rsidP="00FB79A3">
      <w:r w:rsidRPr="00FB79A3">
        <w:t xml:space="preserve">This Methodology and the Draft Local Input Point Assignments will be posted on the </w:t>
      </w:r>
      <w:r>
        <w:t>F</w:t>
      </w:r>
      <w:r w:rsidRPr="00FB79A3">
        <w:t xml:space="preserve">RPO website at the following address: </w:t>
      </w:r>
      <w:r w:rsidR="00942D02" w:rsidRPr="00942D02">
        <w:t>https://frcnc.gov/regional-development/isothermal-rural-planning-organization-rpo/prioritization/</w:t>
      </w:r>
      <w:r w:rsidR="00942D02">
        <w:t>.</w:t>
      </w:r>
      <w:r w:rsidRPr="00FB79A3">
        <w:t xml:space="preserve"> Public comments can be submitted at any time to </w:t>
      </w:r>
      <w:hyperlink r:id="rId9" w:history="1">
        <w:r w:rsidRPr="000272FA">
          <w:rPr>
            <w:rStyle w:val="Hyperlink"/>
          </w:rPr>
          <w:t>mlong@frcnc.gov</w:t>
        </w:r>
      </w:hyperlink>
      <w:r w:rsidRPr="00FB79A3">
        <w:t xml:space="preserve"> and are also welcomed at all </w:t>
      </w:r>
      <w:r>
        <w:t>F</w:t>
      </w:r>
      <w:r w:rsidRPr="00FB79A3">
        <w:t xml:space="preserve">RPO TCC and TAC meetings. </w:t>
      </w:r>
    </w:p>
    <w:p w14:paraId="4D38DB1E" w14:textId="6439C9FB" w:rsidR="079169AD" w:rsidRDefault="079169AD" w:rsidP="00FB79A3"/>
    <w:p w14:paraId="24F41962" w14:textId="10654B3C" w:rsidR="0098757A" w:rsidRDefault="0098757A" w:rsidP="00FB79A3">
      <w:r>
        <w:t>Adoption</w:t>
      </w:r>
    </w:p>
    <w:p w14:paraId="6A381757" w14:textId="77777777" w:rsidR="00A24B54" w:rsidRDefault="00A24B54" w:rsidP="00FB79A3"/>
    <w:p w14:paraId="5C94A456" w14:textId="260E67E4" w:rsidR="00A24B54" w:rsidRPr="00A24B54" w:rsidRDefault="00A24B54" w:rsidP="00A24B54">
      <w:r w:rsidRPr="00A24B54">
        <w:t xml:space="preserve">The </w:t>
      </w:r>
      <w:r>
        <w:t>F</w:t>
      </w:r>
      <w:r w:rsidRPr="00A24B54">
        <w:t xml:space="preserve">RPO Transportation Advisory Committee adopted this policy on </w:t>
      </w:r>
      <w:r w:rsidR="00942D02">
        <w:t>May</w:t>
      </w:r>
      <w:r w:rsidRPr="00A24B54">
        <w:t xml:space="preserve"> </w:t>
      </w:r>
      <w:r w:rsidR="002743DF">
        <w:t>18</w:t>
      </w:r>
      <w:r w:rsidRPr="00A24B54">
        <w:t>, 202</w:t>
      </w:r>
      <w:r w:rsidR="002743DF">
        <w:t>6</w:t>
      </w:r>
      <w:r w:rsidRPr="00A24B54">
        <w:t>.</w:t>
      </w:r>
    </w:p>
    <w:p w14:paraId="4D716EE7" w14:textId="77777777" w:rsidR="00A24B54" w:rsidRPr="00A24B54" w:rsidRDefault="00A24B54" w:rsidP="00A24B54"/>
    <w:p w14:paraId="13B870D5" w14:textId="572C97DA" w:rsidR="00A24B54" w:rsidRPr="00A24B54" w:rsidRDefault="00A24B54" w:rsidP="00A24B54">
      <w:r w:rsidRPr="00A24B54">
        <w:t>______________________________</w:t>
      </w:r>
      <w:r w:rsidRPr="00A24B54">
        <w:tab/>
      </w:r>
      <w:r>
        <w:tab/>
      </w:r>
      <w:r>
        <w:tab/>
      </w:r>
      <w:r>
        <w:tab/>
      </w:r>
      <w:r w:rsidRPr="00A24B54">
        <w:t>______________________________</w:t>
      </w:r>
    </w:p>
    <w:p w14:paraId="25CD57D9" w14:textId="255D5A5C" w:rsidR="00A24B54" w:rsidRPr="00A24B54" w:rsidRDefault="00A24B54" w:rsidP="00A24B54">
      <w:r>
        <w:t>Jimmy Dancy</w:t>
      </w:r>
      <w:r w:rsidRPr="00A24B54">
        <w:t>, TAC Chair</w:t>
      </w:r>
      <w:r>
        <w:tab/>
      </w:r>
      <w:r>
        <w:tab/>
      </w:r>
      <w:r>
        <w:tab/>
      </w:r>
      <w:r>
        <w:tab/>
      </w:r>
      <w:r w:rsidRPr="00A24B54">
        <w:tab/>
      </w:r>
      <w:r>
        <w:t>Magnolia Long</w:t>
      </w:r>
      <w:r w:rsidRPr="00A24B54">
        <w:t xml:space="preserve">, </w:t>
      </w:r>
      <w:r>
        <w:t>F</w:t>
      </w:r>
      <w:r w:rsidRPr="00A24B54">
        <w:t>RPO Director</w:t>
      </w:r>
    </w:p>
    <w:p w14:paraId="479A9AC7" w14:textId="77777777" w:rsidR="00A24B54" w:rsidRDefault="00A24B54" w:rsidP="00FB79A3"/>
    <w:sectPr w:rsidR="00A24B5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39972" w14:textId="77777777" w:rsidR="00463EDE" w:rsidRDefault="00463EDE">
      <w:pPr>
        <w:spacing w:after="0" w:line="240" w:lineRule="auto"/>
      </w:pPr>
      <w:r>
        <w:separator/>
      </w:r>
    </w:p>
  </w:endnote>
  <w:endnote w:type="continuationSeparator" w:id="0">
    <w:p w14:paraId="69215D35" w14:textId="77777777" w:rsidR="00463EDE" w:rsidRDefault="00463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3541F" w14:textId="77777777" w:rsidR="00463EDE" w:rsidRDefault="00463EDE">
      <w:pPr>
        <w:spacing w:after="0" w:line="240" w:lineRule="auto"/>
      </w:pPr>
      <w:r>
        <w:separator/>
      </w:r>
    </w:p>
  </w:footnote>
  <w:footnote w:type="continuationSeparator" w:id="0">
    <w:p w14:paraId="72BD4C73" w14:textId="77777777" w:rsidR="00463EDE" w:rsidRDefault="00463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866ED51" w14:paraId="6E9CD476" w14:textId="77777777" w:rsidTr="0866ED51">
      <w:trPr>
        <w:trHeight w:val="300"/>
      </w:trPr>
      <w:tc>
        <w:tcPr>
          <w:tcW w:w="3120" w:type="dxa"/>
        </w:tcPr>
        <w:p w14:paraId="69D195CA" w14:textId="3EB8FE74" w:rsidR="0866ED51" w:rsidRDefault="0866ED51" w:rsidP="0866ED51">
          <w:pPr>
            <w:pStyle w:val="Header"/>
            <w:ind w:left="-115"/>
          </w:pPr>
        </w:p>
      </w:tc>
      <w:tc>
        <w:tcPr>
          <w:tcW w:w="3120" w:type="dxa"/>
        </w:tcPr>
        <w:p w14:paraId="71D64542" w14:textId="16847313" w:rsidR="0866ED51" w:rsidRDefault="0866ED51" w:rsidP="0866ED51">
          <w:pPr>
            <w:pStyle w:val="Header"/>
            <w:jc w:val="center"/>
          </w:pPr>
        </w:p>
      </w:tc>
      <w:tc>
        <w:tcPr>
          <w:tcW w:w="3120" w:type="dxa"/>
        </w:tcPr>
        <w:p w14:paraId="724C0D7F" w14:textId="406D03D3" w:rsidR="0866ED51" w:rsidRDefault="0866ED51" w:rsidP="0866ED51">
          <w:pPr>
            <w:pStyle w:val="Header"/>
            <w:ind w:right="-115"/>
            <w:jc w:val="right"/>
          </w:pPr>
        </w:p>
      </w:tc>
    </w:tr>
  </w:tbl>
  <w:p w14:paraId="575B9F62" w14:textId="4D40CC78" w:rsidR="0866ED51" w:rsidRDefault="0866ED51" w:rsidP="0866E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5DFF"/>
    <w:multiLevelType w:val="hybridMultilevel"/>
    <w:tmpl w:val="50428A86"/>
    <w:lvl w:ilvl="0" w:tplc="B688FBD2">
      <w:start w:val="1"/>
      <w:numFmt w:val="bullet"/>
      <w:lvlText w:val=""/>
      <w:lvlJc w:val="left"/>
      <w:pPr>
        <w:ind w:left="720" w:hanging="360"/>
      </w:pPr>
      <w:rPr>
        <w:rFonts w:ascii="Symbol" w:hAnsi="Symbol" w:hint="default"/>
      </w:rPr>
    </w:lvl>
    <w:lvl w:ilvl="1" w:tplc="347CEE1C">
      <w:start w:val="1"/>
      <w:numFmt w:val="bullet"/>
      <w:lvlText w:val="o"/>
      <w:lvlJc w:val="left"/>
      <w:pPr>
        <w:ind w:left="1440" w:hanging="360"/>
      </w:pPr>
      <w:rPr>
        <w:rFonts w:ascii="Courier New" w:hAnsi="Courier New" w:hint="default"/>
      </w:rPr>
    </w:lvl>
    <w:lvl w:ilvl="2" w:tplc="2EE69D68">
      <w:start w:val="1"/>
      <w:numFmt w:val="bullet"/>
      <w:lvlText w:val=""/>
      <w:lvlJc w:val="left"/>
      <w:pPr>
        <w:ind w:left="2160" w:hanging="360"/>
      </w:pPr>
      <w:rPr>
        <w:rFonts w:ascii="Wingdings" w:hAnsi="Wingdings" w:hint="default"/>
      </w:rPr>
    </w:lvl>
    <w:lvl w:ilvl="3" w:tplc="4196A2C0">
      <w:start w:val="1"/>
      <w:numFmt w:val="bullet"/>
      <w:lvlText w:val=""/>
      <w:lvlJc w:val="left"/>
      <w:pPr>
        <w:ind w:left="2880" w:hanging="360"/>
      </w:pPr>
      <w:rPr>
        <w:rFonts w:ascii="Symbol" w:hAnsi="Symbol" w:hint="default"/>
      </w:rPr>
    </w:lvl>
    <w:lvl w:ilvl="4" w:tplc="3B5E19A0">
      <w:start w:val="1"/>
      <w:numFmt w:val="bullet"/>
      <w:lvlText w:val="o"/>
      <w:lvlJc w:val="left"/>
      <w:pPr>
        <w:ind w:left="3600" w:hanging="360"/>
      </w:pPr>
      <w:rPr>
        <w:rFonts w:ascii="Courier New" w:hAnsi="Courier New" w:hint="default"/>
      </w:rPr>
    </w:lvl>
    <w:lvl w:ilvl="5" w:tplc="8130A3B4">
      <w:start w:val="1"/>
      <w:numFmt w:val="bullet"/>
      <w:lvlText w:val=""/>
      <w:lvlJc w:val="left"/>
      <w:pPr>
        <w:ind w:left="4320" w:hanging="360"/>
      </w:pPr>
      <w:rPr>
        <w:rFonts w:ascii="Wingdings" w:hAnsi="Wingdings" w:hint="default"/>
      </w:rPr>
    </w:lvl>
    <w:lvl w:ilvl="6" w:tplc="B992A3FA">
      <w:start w:val="1"/>
      <w:numFmt w:val="bullet"/>
      <w:lvlText w:val=""/>
      <w:lvlJc w:val="left"/>
      <w:pPr>
        <w:ind w:left="5040" w:hanging="360"/>
      </w:pPr>
      <w:rPr>
        <w:rFonts w:ascii="Symbol" w:hAnsi="Symbol" w:hint="default"/>
      </w:rPr>
    </w:lvl>
    <w:lvl w:ilvl="7" w:tplc="1F9612B0">
      <w:start w:val="1"/>
      <w:numFmt w:val="bullet"/>
      <w:lvlText w:val="o"/>
      <w:lvlJc w:val="left"/>
      <w:pPr>
        <w:ind w:left="5760" w:hanging="360"/>
      </w:pPr>
      <w:rPr>
        <w:rFonts w:ascii="Courier New" w:hAnsi="Courier New" w:hint="default"/>
      </w:rPr>
    </w:lvl>
    <w:lvl w:ilvl="8" w:tplc="4F000392">
      <w:start w:val="1"/>
      <w:numFmt w:val="bullet"/>
      <w:lvlText w:val=""/>
      <w:lvlJc w:val="left"/>
      <w:pPr>
        <w:ind w:left="6480" w:hanging="360"/>
      </w:pPr>
      <w:rPr>
        <w:rFonts w:ascii="Wingdings" w:hAnsi="Wingdings" w:hint="default"/>
      </w:rPr>
    </w:lvl>
  </w:abstractNum>
  <w:abstractNum w:abstractNumId="1" w15:restartNumberingAfterBreak="0">
    <w:nsid w:val="166137EE"/>
    <w:multiLevelType w:val="hybridMultilevel"/>
    <w:tmpl w:val="F00817BA"/>
    <w:lvl w:ilvl="0" w:tplc="8084F026">
      <w:start w:val="1"/>
      <w:numFmt w:val="bullet"/>
      <w:lvlText w:val=""/>
      <w:lvlJc w:val="left"/>
      <w:pPr>
        <w:ind w:left="720" w:hanging="360"/>
      </w:pPr>
      <w:rPr>
        <w:rFonts w:ascii="Symbol" w:hAnsi="Symbol" w:hint="default"/>
      </w:rPr>
    </w:lvl>
    <w:lvl w:ilvl="1" w:tplc="9C72367A">
      <w:start w:val="1"/>
      <w:numFmt w:val="bullet"/>
      <w:lvlText w:val="o"/>
      <w:lvlJc w:val="left"/>
      <w:pPr>
        <w:ind w:left="1440" w:hanging="360"/>
      </w:pPr>
      <w:rPr>
        <w:rFonts w:ascii="Courier New" w:hAnsi="Courier New" w:hint="default"/>
      </w:rPr>
    </w:lvl>
    <w:lvl w:ilvl="2" w:tplc="3DE4A1FE">
      <w:start w:val="1"/>
      <w:numFmt w:val="bullet"/>
      <w:lvlText w:val=""/>
      <w:lvlJc w:val="left"/>
      <w:pPr>
        <w:ind w:left="2160" w:hanging="360"/>
      </w:pPr>
      <w:rPr>
        <w:rFonts w:ascii="Wingdings" w:hAnsi="Wingdings" w:hint="default"/>
      </w:rPr>
    </w:lvl>
    <w:lvl w:ilvl="3" w:tplc="FF68CAB0">
      <w:start w:val="1"/>
      <w:numFmt w:val="bullet"/>
      <w:lvlText w:val=""/>
      <w:lvlJc w:val="left"/>
      <w:pPr>
        <w:ind w:left="2880" w:hanging="360"/>
      </w:pPr>
      <w:rPr>
        <w:rFonts w:ascii="Symbol" w:hAnsi="Symbol" w:hint="default"/>
      </w:rPr>
    </w:lvl>
    <w:lvl w:ilvl="4" w:tplc="74AA3E64">
      <w:start w:val="1"/>
      <w:numFmt w:val="bullet"/>
      <w:lvlText w:val="o"/>
      <w:lvlJc w:val="left"/>
      <w:pPr>
        <w:ind w:left="3600" w:hanging="360"/>
      </w:pPr>
      <w:rPr>
        <w:rFonts w:ascii="Courier New" w:hAnsi="Courier New" w:hint="default"/>
      </w:rPr>
    </w:lvl>
    <w:lvl w:ilvl="5" w:tplc="D646C950">
      <w:start w:val="1"/>
      <w:numFmt w:val="bullet"/>
      <w:lvlText w:val=""/>
      <w:lvlJc w:val="left"/>
      <w:pPr>
        <w:ind w:left="4320" w:hanging="360"/>
      </w:pPr>
      <w:rPr>
        <w:rFonts w:ascii="Wingdings" w:hAnsi="Wingdings" w:hint="default"/>
      </w:rPr>
    </w:lvl>
    <w:lvl w:ilvl="6" w:tplc="9EA8FAF2">
      <w:start w:val="1"/>
      <w:numFmt w:val="bullet"/>
      <w:lvlText w:val=""/>
      <w:lvlJc w:val="left"/>
      <w:pPr>
        <w:ind w:left="5040" w:hanging="360"/>
      </w:pPr>
      <w:rPr>
        <w:rFonts w:ascii="Symbol" w:hAnsi="Symbol" w:hint="default"/>
      </w:rPr>
    </w:lvl>
    <w:lvl w:ilvl="7" w:tplc="CB561F80">
      <w:start w:val="1"/>
      <w:numFmt w:val="bullet"/>
      <w:lvlText w:val="o"/>
      <w:lvlJc w:val="left"/>
      <w:pPr>
        <w:ind w:left="5760" w:hanging="360"/>
      </w:pPr>
      <w:rPr>
        <w:rFonts w:ascii="Courier New" w:hAnsi="Courier New" w:hint="default"/>
      </w:rPr>
    </w:lvl>
    <w:lvl w:ilvl="8" w:tplc="DE9490F0">
      <w:start w:val="1"/>
      <w:numFmt w:val="bullet"/>
      <w:lvlText w:val=""/>
      <w:lvlJc w:val="left"/>
      <w:pPr>
        <w:ind w:left="6480" w:hanging="360"/>
      </w:pPr>
      <w:rPr>
        <w:rFonts w:ascii="Wingdings" w:hAnsi="Wingdings" w:hint="default"/>
      </w:rPr>
    </w:lvl>
  </w:abstractNum>
  <w:abstractNum w:abstractNumId="2" w15:restartNumberingAfterBreak="0">
    <w:nsid w:val="20998709"/>
    <w:multiLevelType w:val="hybridMultilevel"/>
    <w:tmpl w:val="4F3E93B8"/>
    <w:lvl w:ilvl="0" w:tplc="64A473CA">
      <w:start w:val="1"/>
      <w:numFmt w:val="bullet"/>
      <w:lvlText w:val="-"/>
      <w:lvlJc w:val="left"/>
      <w:pPr>
        <w:ind w:left="720" w:hanging="360"/>
      </w:pPr>
      <w:rPr>
        <w:rFonts w:ascii="Aptos" w:hAnsi="Aptos" w:hint="default"/>
      </w:rPr>
    </w:lvl>
    <w:lvl w:ilvl="1" w:tplc="9AB46164">
      <w:start w:val="1"/>
      <w:numFmt w:val="bullet"/>
      <w:lvlText w:val="o"/>
      <w:lvlJc w:val="left"/>
      <w:pPr>
        <w:ind w:left="1440" w:hanging="360"/>
      </w:pPr>
      <w:rPr>
        <w:rFonts w:ascii="Courier New" w:hAnsi="Courier New" w:hint="default"/>
      </w:rPr>
    </w:lvl>
    <w:lvl w:ilvl="2" w:tplc="94BC5EA0">
      <w:start w:val="1"/>
      <w:numFmt w:val="bullet"/>
      <w:lvlText w:val=""/>
      <w:lvlJc w:val="left"/>
      <w:pPr>
        <w:ind w:left="2160" w:hanging="360"/>
      </w:pPr>
      <w:rPr>
        <w:rFonts w:ascii="Wingdings" w:hAnsi="Wingdings" w:hint="default"/>
      </w:rPr>
    </w:lvl>
    <w:lvl w:ilvl="3" w:tplc="8D7C515C">
      <w:start w:val="1"/>
      <w:numFmt w:val="bullet"/>
      <w:lvlText w:val=""/>
      <w:lvlJc w:val="left"/>
      <w:pPr>
        <w:ind w:left="2880" w:hanging="360"/>
      </w:pPr>
      <w:rPr>
        <w:rFonts w:ascii="Symbol" w:hAnsi="Symbol" w:hint="default"/>
      </w:rPr>
    </w:lvl>
    <w:lvl w:ilvl="4" w:tplc="9F3C36FC">
      <w:start w:val="1"/>
      <w:numFmt w:val="bullet"/>
      <w:lvlText w:val="o"/>
      <w:lvlJc w:val="left"/>
      <w:pPr>
        <w:ind w:left="3600" w:hanging="360"/>
      </w:pPr>
      <w:rPr>
        <w:rFonts w:ascii="Courier New" w:hAnsi="Courier New" w:hint="default"/>
      </w:rPr>
    </w:lvl>
    <w:lvl w:ilvl="5" w:tplc="A9B87A06">
      <w:start w:val="1"/>
      <w:numFmt w:val="bullet"/>
      <w:lvlText w:val=""/>
      <w:lvlJc w:val="left"/>
      <w:pPr>
        <w:ind w:left="4320" w:hanging="360"/>
      </w:pPr>
      <w:rPr>
        <w:rFonts w:ascii="Wingdings" w:hAnsi="Wingdings" w:hint="default"/>
      </w:rPr>
    </w:lvl>
    <w:lvl w:ilvl="6" w:tplc="B52E3414">
      <w:start w:val="1"/>
      <w:numFmt w:val="bullet"/>
      <w:lvlText w:val=""/>
      <w:lvlJc w:val="left"/>
      <w:pPr>
        <w:ind w:left="5040" w:hanging="360"/>
      </w:pPr>
      <w:rPr>
        <w:rFonts w:ascii="Symbol" w:hAnsi="Symbol" w:hint="default"/>
      </w:rPr>
    </w:lvl>
    <w:lvl w:ilvl="7" w:tplc="2A3A5466">
      <w:start w:val="1"/>
      <w:numFmt w:val="bullet"/>
      <w:lvlText w:val="o"/>
      <w:lvlJc w:val="left"/>
      <w:pPr>
        <w:ind w:left="5760" w:hanging="360"/>
      </w:pPr>
      <w:rPr>
        <w:rFonts w:ascii="Courier New" w:hAnsi="Courier New" w:hint="default"/>
      </w:rPr>
    </w:lvl>
    <w:lvl w:ilvl="8" w:tplc="38489A48">
      <w:start w:val="1"/>
      <w:numFmt w:val="bullet"/>
      <w:lvlText w:val=""/>
      <w:lvlJc w:val="left"/>
      <w:pPr>
        <w:ind w:left="6480" w:hanging="360"/>
      </w:pPr>
      <w:rPr>
        <w:rFonts w:ascii="Wingdings" w:hAnsi="Wingdings" w:hint="default"/>
      </w:rPr>
    </w:lvl>
  </w:abstractNum>
  <w:abstractNum w:abstractNumId="3" w15:restartNumberingAfterBreak="0">
    <w:nsid w:val="5736D0A7"/>
    <w:multiLevelType w:val="hybridMultilevel"/>
    <w:tmpl w:val="DF569B5A"/>
    <w:lvl w:ilvl="0" w:tplc="4204F2C6">
      <w:start w:val="1"/>
      <w:numFmt w:val="bullet"/>
      <w:lvlText w:val=""/>
      <w:lvlJc w:val="left"/>
      <w:pPr>
        <w:ind w:left="720" w:hanging="360"/>
      </w:pPr>
      <w:rPr>
        <w:rFonts w:ascii="Symbol" w:hAnsi="Symbol" w:hint="default"/>
      </w:rPr>
    </w:lvl>
    <w:lvl w:ilvl="1" w:tplc="1910BCB4">
      <w:start w:val="1"/>
      <w:numFmt w:val="bullet"/>
      <w:lvlText w:val="o"/>
      <w:lvlJc w:val="left"/>
      <w:pPr>
        <w:ind w:left="1440" w:hanging="360"/>
      </w:pPr>
      <w:rPr>
        <w:rFonts w:ascii="Courier New" w:hAnsi="Courier New" w:hint="default"/>
      </w:rPr>
    </w:lvl>
    <w:lvl w:ilvl="2" w:tplc="B7A49012">
      <w:start w:val="1"/>
      <w:numFmt w:val="bullet"/>
      <w:lvlText w:val=""/>
      <w:lvlJc w:val="left"/>
      <w:pPr>
        <w:ind w:left="2160" w:hanging="360"/>
      </w:pPr>
      <w:rPr>
        <w:rFonts w:ascii="Wingdings" w:hAnsi="Wingdings" w:hint="default"/>
      </w:rPr>
    </w:lvl>
    <w:lvl w:ilvl="3" w:tplc="A080F1A8">
      <w:start w:val="1"/>
      <w:numFmt w:val="bullet"/>
      <w:lvlText w:val=""/>
      <w:lvlJc w:val="left"/>
      <w:pPr>
        <w:ind w:left="2880" w:hanging="360"/>
      </w:pPr>
      <w:rPr>
        <w:rFonts w:ascii="Symbol" w:hAnsi="Symbol" w:hint="default"/>
      </w:rPr>
    </w:lvl>
    <w:lvl w:ilvl="4" w:tplc="5BC0462C">
      <w:start w:val="1"/>
      <w:numFmt w:val="bullet"/>
      <w:lvlText w:val="o"/>
      <w:lvlJc w:val="left"/>
      <w:pPr>
        <w:ind w:left="3600" w:hanging="360"/>
      </w:pPr>
      <w:rPr>
        <w:rFonts w:ascii="Courier New" w:hAnsi="Courier New" w:hint="default"/>
      </w:rPr>
    </w:lvl>
    <w:lvl w:ilvl="5" w:tplc="8E02553E">
      <w:start w:val="1"/>
      <w:numFmt w:val="bullet"/>
      <w:lvlText w:val=""/>
      <w:lvlJc w:val="left"/>
      <w:pPr>
        <w:ind w:left="4320" w:hanging="360"/>
      </w:pPr>
      <w:rPr>
        <w:rFonts w:ascii="Wingdings" w:hAnsi="Wingdings" w:hint="default"/>
      </w:rPr>
    </w:lvl>
    <w:lvl w:ilvl="6" w:tplc="8F089336">
      <w:start w:val="1"/>
      <w:numFmt w:val="bullet"/>
      <w:lvlText w:val=""/>
      <w:lvlJc w:val="left"/>
      <w:pPr>
        <w:ind w:left="5040" w:hanging="360"/>
      </w:pPr>
      <w:rPr>
        <w:rFonts w:ascii="Symbol" w:hAnsi="Symbol" w:hint="default"/>
      </w:rPr>
    </w:lvl>
    <w:lvl w:ilvl="7" w:tplc="EF1CA7EE">
      <w:start w:val="1"/>
      <w:numFmt w:val="bullet"/>
      <w:lvlText w:val="o"/>
      <w:lvlJc w:val="left"/>
      <w:pPr>
        <w:ind w:left="5760" w:hanging="360"/>
      </w:pPr>
      <w:rPr>
        <w:rFonts w:ascii="Courier New" w:hAnsi="Courier New" w:hint="default"/>
      </w:rPr>
    </w:lvl>
    <w:lvl w:ilvl="8" w:tplc="C19C00D4">
      <w:start w:val="1"/>
      <w:numFmt w:val="bullet"/>
      <w:lvlText w:val=""/>
      <w:lvlJc w:val="left"/>
      <w:pPr>
        <w:ind w:left="6480" w:hanging="360"/>
      </w:pPr>
      <w:rPr>
        <w:rFonts w:ascii="Wingdings" w:hAnsi="Wingdings" w:hint="default"/>
      </w:rPr>
    </w:lvl>
  </w:abstractNum>
  <w:abstractNum w:abstractNumId="4" w15:restartNumberingAfterBreak="0">
    <w:nsid w:val="78037C54"/>
    <w:multiLevelType w:val="hybridMultilevel"/>
    <w:tmpl w:val="6070FBF4"/>
    <w:lvl w:ilvl="0" w:tplc="87900A80">
      <w:start w:val="1"/>
      <w:numFmt w:val="bullet"/>
      <w:lvlText w:val=""/>
      <w:lvlJc w:val="left"/>
      <w:pPr>
        <w:ind w:left="720" w:hanging="360"/>
      </w:pPr>
      <w:rPr>
        <w:rFonts w:ascii="Symbol" w:hAnsi="Symbol" w:hint="default"/>
      </w:rPr>
    </w:lvl>
    <w:lvl w:ilvl="1" w:tplc="472A9AC8">
      <w:start w:val="1"/>
      <w:numFmt w:val="bullet"/>
      <w:lvlText w:val="o"/>
      <w:lvlJc w:val="left"/>
      <w:pPr>
        <w:ind w:left="1440" w:hanging="360"/>
      </w:pPr>
      <w:rPr>
        <w:rFonts w:ascii="Courier New" w:hAnsi="Courier New" w:hint="default"/>
      </w:rPr>
    </w:lvl>
    <w:lvl w:ilvl="2" w:tplc="61D6ED02">
      <w:start w:val="1"/>
      <w:numFmt w:val="bullet"/>
      <w:lvlText w:val=""/>
      <w:lvlJc w:val="left"/>
      <w:pPr>
        <w:ind w:left="2160" w:hanging="360"/>
      </w:pPr>
      <w:rPr>
        <w:rFonts w:ascii="Wingdings" w:hAnsi="Wingdings" w:hint="default"/>
      </w:rPr>
    </w:lvl>
    <w:lvl w:ilvl="3" w:tplc="F07C6F34">
      <w:start w:val="1"/>
      <w:numFmt w:val="bullet"/>
      <w:lvlText w:val=""/>
      <w:lvlJc w:val="left"/>
      <w:pPr>
        <w:ind w:left="2880" w:hanging="360"/>
      </w:pPr>
      <w:rPr>
        <w:rFonts w:ascii="Symbol" w:hAnsi="Symbol" w:hint="default"/>
      </w:rPr>
    </w:lvl>
    <w:lvl w:ilvl="4" w:tplc="B34E2B78">
      <w:start w:val="1"/>
      <w:numFmt w:val="bullet"/>
      <w:lvlText w:val="o"/>
      <w:lvlJc w:val="left"/>
      <w:pPr>
        <w:ind w:left="3600" w:hanging="360"/>
      </w:pPr>
      <w:rPr>
        <w:rFonts w:ascii="Courier New" w:hAnsi="Courier New" w:hint="default"/>
      </w:rPr>
    </w:lvl>
    <w:lvl w:ilvl="5" w:tplc="FCC48860">
      <w:start w:val="1"/>
      <w:numFmt w:val="bullet"/>
      <w:lvlText w:val=""/>
      <w:lvlJc w:val="left"/>
      <w:pPr>
        <w:ind w:left="4320" w:hanging="360"/>
      </w:pPr>
      <w:rPr>
        <w:rFonts w:ascii="Wingdings" w:hAnsi="Wingdings" w:hint="default"/>
      </w:rPr>
    </w:lvl>
    <w:lvl w:ilvl="6" w:tplc="5D62167E">
      <w:start w:val="1"/>
      <w:numFmt w:val="bullet"/>
      <w:lvlText w:val=""/>
      <w:lvlJc w:val="left"/>
      <w:pPr>
        <w:ind w:left="5040" w:hanging="360"/>
      </w:pPr>
      <w:rPr>
        <w:rFonts w:ascii="Symbol" w:hAnsi="Symbol" w:hint="default"/>
      </w:rPr>
    </w:lvl>
    <w:lvl w:ilvl="7" w:tplc="25A23D66">
      <w:start w:val="1"/>
      <w:numFmt w:val="bullet"/>
      <w:lvlText w:val="o"/>
      <w:lvlJc w:val="left"/>
      <w:pPr>
        <w:ind w:left="5760" w:hanging="360"/>
      </w:pPr>
      <w:rPr>
        <w:rFonts w:ascii="Courier New" w:hAnsi="Courier New" w:hint="default"/>
      </w:rPr>
    </w:lvl>
    <w:lvl w:ilvl="8" w:tplc="BACEEDA8">
      <w:start w:val="1"/>
      <w:numFmt w:val="bullet"/>
      <w:lvlText w:val=""/>
      <w:lvlJc w:val="left"/>
      <w:pPr>
        <w:ind w:left="6480" w:hanging="360"/>
      </w:pPr>
      <w:rPr>
        <w:rFonts w:ascii="Wingdings" w:hAnsi="Wingdings" w:hint="default"/>
      </w:rPr>
    </w:lvl>
  </w:abstractNum>
  <w:abstractNum w:abstractNumId="5" w15:restartNumberingAfterBreak="0">
    <w:nsid w:val="7F489D1D"/>
    <w:multiLevelType w:val="hybridMultilevel"/>
    <w:tmpl w:val="C3ECB822"/>
    <w:lvl w:ilvl="0" w:tplc="64E624FA">
      <w:start w:val="1"/>
      <w:numFmt w:val="bullet"/>
      <w:lvlText w:val=""/>
      <w:lvlJc w:val="left"/>
      <w:pPr>
        <w:ind w:left="720" w:hanging="360"/>
      </w:pPr>
      <w:rPr>
        <w:rFonts w:ascii="Symbol" w:hAnsi="Symbol" w:hint="default"/>
      </w:rPr>
    </w:lvl>
    <w:lvl w:ilvl="1" w:tplc="FF425568">
      <w:start w:val="1"/>
      <w:numFmt w:val="bullet"/>
      <w:lvlText w:val="o"/>
      <w:lvlJc w:val="left"/>
      <w:pPr>
        <w:ind w:left="1440" w:hanging="360"/>
      </w:pPr>
      <w:rPr>
        <w:rFonts w:ascii="Courier New" w:hAnsi="Courier New" w:hint="default"/>
      </w:rPr>
    </w:lvl>
    <w:lvl w:ilvl="2" w:tplc="00DAE2A2">
      <w:start w:val="1"/>
      <w:numFmt w:val="bullet"/>
      <w:lvlText w:val=""/>
      <w:lvlJc w:val="left"/>
      <w:pPr>
        <w:ind w:left="2160" w:hanging="360"/>
      </w:pPr>
      <w:rPr>
        <w:rFonts w:ascii="Wingdings" w:hAnsi="Wingdings" w:hint="default"/>
      </w:rPr>
    </w:lvl>
    <w:lvl w:ilvl="3" w:tplc="23BC26E0">
      <w:start w:val="1"/>
      <w:numFmt w:val="bullet"/>
      <w:lvlText w:val=""/>
      <w:lvlJc w:val="left"/>
      <w:pPr>
        <w:ind w:left="2880" w:hanging="360"/>
      </w:pPr>
      <w:rPr>
        <w:rFonts w:ascii="Symbol" w:hAnsi="Symbol" w:hint="default"/>
      </w:rPr>
    </w:lvl>
    <w:lvl w:ilvl="4" w:tplc="DC02B67E">
      <w:start w:val="1"/>
      <w:numFmt w:val="bullet"/>
      <w:lvlText w:val="o"/>
      <w:lvlJc w:val="left"/>
      <w:pPr>
        <w:ind w:left="3600" w:hanging="360"/>
      </w:pPr>
      <w:rPr>
        <w:rFonts w:ascii="Courier New" w:hAnsi="Courier New" w:hint="default"/>
      </w:rPr>
    </w:lvl>
    <w:lvl w:ilvl="5" w:tplc="AFD88C66">
      <w:start w:val="1"/>
      <w:numFmt w:val="bullet"/>
      <w:lvlText w:val=""/>
      <w:lvlJc w:val="left"/>
      <w:pPr>
        <w:ind w:left="4320" w:hanging="360"/>
      </w:pPr>
      <w:rPr>
        <w:rFonts w:ascii="Wingdings" w:hAnsi="Wingdings" w:hint="default"/>
      </w:rPr>
    </w:lvl>
    <w:lvl w:ilvl="6" w:tplc="89A041B4">
      <w:start w:val="1"/>
      <w:numFmt w:val="bullet"/>
      <w:lvlText w:val=""/>
      <w:lvlJc w:val="left"/>
      <w:pPr>
        <w:ind w:left="5040" w:hanging="360"/>
      </w:pPr>
      <w:rPr>
        <w:rFonts w:ascii="Symbol" w:hAnsi="Symbol" w:hint="default"/>
      </w:rPr>
    </w:lvl>
    <w:lvl w:ilvl="7" w:tplc="1340BE2A">
      <w:start w:val="1"/>
      <w:numFmt w:val="bullet"/>
      <w:lvlText w:val="o"/>
      <w:lvlJc w:val="left"/>
      <w:pPr>
        <w:ind w:left="5760" w:hanging="360"/>
      </w:pPr>
      <w:rPr>
        <w:rFonts w:ascii="Courier New" w:hAnsi="Courier New" w:hint="default"/>
      </w:rPr>
    </w:lvl>
    <w:lvl w:ilvl="8" w:tplc="D818BF60">
      <w:start w:val="1"/>
      <w:numFmt w:val="bullet"/>
      <w:lvlText w:val=""/>
      <w:lvlJc w:val="left"/>
      <w:pPr>
        <w:ind w:left="6480" w:hanging="360"/>
      </w:pPr>
      <w:rPr>
        <w:rFonts w:ascii="Wingdings" w:hAnsi="Wingdings" w:hint="default"/>
      </w:rPr>
    </w:lvl>
  </w:abstractNum>
  <w:num w:numId="1" w16cid:durableId="1500121756">
    <w:abstractNumId w:val="0"/>
  </w:num>
  <w:num w:numId="2" w16cid:durableId="840700795">
    <w:abstractNumId w:val="4"/>
  </w:num>
  <w:num w:numId="3" w16cid:durableId="737022374">
    <w:abstractNumId w:val="1"/>
  </w:num>
  <w:num w:numId="4" w16cid:durableId="1327130049">
    <w:abstractNumId w:val="5"/>
  </w:num>
  <w:num w:numId="5" w16cid:durableId="443884589">
    <w:abstractNumId w:val="3"/>
  </w:num>
  <w:num w:numId="6" w16cid:durableId="899905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DA81D7"/>
    <w:rsid w:val="000059E5"/>
    <w:rsid w:val="00013F77"/>
    <w:rsid w:val="00066143"/>
    <w:rsid w:val="00074B58"/>
    <w:rsid w:val="000D1B36"/>
    <w:rsid w:val="001516F5"/>
    <w:rsid w:val="0018740C"/>
    <w:rsid w:val="001B080C"/>
    <w:rsid w:val="001D7BA1"/>
    <w:rsid w:val="00256B6B"/>
    <w:rsid w:val="002743DF"/>
    <w:rsid w:val="0027A227"/>
    <w:rsid w:val="00370DDE"/>
    <w:rsid w:val="003743D3"/>
    <w:rsid w:val="003D2986"/>
    <w:rsid w:val="003F15A7"/>
    <w:rsid w:val="00401A7A"/>
    <w:rsid w:val="00420F86"/>
    <w:rsid w:val="00434591"/>
    <w:rsid w:val="00454EDE"/>
    <w:rsid w:val="00463EDE"/>
    <w:rsid w:val="004778FE"/>
    <w:rsid w:val="004B5019"/>
    <w:rsid w:val="005276D4"/>
    <w:rsid w:val="006207B8"/>
    <w:rsid w:val="00683B23"/>
    <w:rsid w:val="006C5FB2"/>
    <w:rsid w:val="006E6EAA"/>
    <w:rsid w:val="00730B9B"/>
    <w:rsid w:val="00745899"/>
    <w:rsid w:val="0076120D"/>
    <w:rsid w:val="00780A9C"/>
    <w:rsid w:val="00786B06"/>
    <w:rsid w:val="007A3034"/>
    <w:rsid w:val="007A44F2"/>
    <w:rsid w:val="007B3705"/>
    <w:rsid w:val="008329A4"/>
    <w:rsid w:val="00897FFA"/>
    <w:rsid w:val="008A4FDE"/>
    <w:rsid w:val="008C0E39"/>
    <w:rsid w:val="008C31D8"/>
    <w:rsid w:val="008C56AA"/>
    <w:rsid w:val="008E39C3"/>
    <w:rsid w:val="00927036"/>
    <w:rsid w:val="00936BC2"/>
    <w:rsid w:val="00942D02"/>
    <w:rsid w:val="00955FBC"/>
    <w:rsid w:val="009737F1"/>
    <w:rsid w:val="0098757A"/>
    <w:rsid w:val="00A10738"/>
    <w:rsid w:val="00A24B54"/>
    <w:rsid w:val="00A6509A"/>
    <w:rsid w:val="00AB05E5"/>
    <w:rsid w:val="00AC5C90"/>
    <w:rsid w:val="00AE6434"/>
    <w:rsid w:val="00AE7418"/>
    <w:rsid w:val="00B53283"/>
    <w:rsid w:val="00BB56E8"/>
    <w:rsid w:val="00BE0FC0"/>
    <w:rsid w:val="00BF766D"/>
    <w:rsid w:val="00C10D9C"/>
    <w:rsid w:val="00C33607"/>
    <w:rsid w:val="00CC4D46"/>
    <w:rsid w:val="00D153DD"/>
    <w:rsid w:val="00E116CB"/>
    <w:rsid w:val="00E50E84"/>
    <w:rsid w:val="00E6151B"/>
    <w:rsid w:val="00EE4D7D"/>
    <w:rsid w:val="00F00AE4"/>
    <w:rsid w:val="00F22C21"/>
    <w:rsid w:val="00FB79A3"/>
    <w:rsid w:val="00FC3302"/>
    <w:rsid w:val="00FD620D"/>
    <w:rsid w:val="00FE3156"/>
    <w:rsid w:val="01C37288"/>
    <w:rsid w:val="01FB5C85"/>
    <w:rsid w:val="01FDC4FD"/>
    <w:rsid w:val="020D3028"/>
    <w:rsid w:val="0215183A"/>
    <w:rsid w:val="024A31EA"/>
    <w:rsid w:val="036F8C39"/>
    <w:rsid w:val="03E5430A"/>
    <w:rsid w:val="04A7CD83"/>
    <w:rsid w:val="04FB134A"/>
    <w:rsid w:val="050BB9B7"/>
    <w:rsid w:val="0558357C"/>
    <w:rsid w:val="05993AF4"/>
    <w:rsid w:val="05CF783F"/>
    <w:rsid w:val="06DF83C7"/>
    <w:rsid w:val="06E7F605"/>
    <w:rsid w:val="07291823"/>
    <w:rsid w:val="079169AD"/>
    <w:rsid w:val="07E57683"/>
    <w:rsid w:val="0866ED51"/>
    <w:rsid w:val="08BCFAFE"/>
    <w:rsid w:val="0925FC7B"/>
    <w:rsid w:val="092F20F9"/>
    <w:rsid w:val="098DE39C"/>
    <w:rsid w:val="09E9C574"/>
    <w:rsid w:val="09EE5F9E"/>
    <w:rsid w:val="0A1F96C7"/>
    <w:rsid w:val="0A248F4E"/>
    <w:rsid w:val="0A99C31A"/>
    <w:rsid w:val="0AC666EC"/>
    <w:rsid w:val="0B653FFA"/>
    <w:rsid w:val="0B78E69F"/>
    <w:rsid w:val="0B7FFB3D"/>
    <w:rsid w:val="0B82E8C1"/>
    <w:rsid w:val="0B9AEA11"/>
    <w:rsid w:val="0BBB6728"/>
    <w:rsid w:val="0CF7282B"/>
    <w:rsid w:val="0D573789"/>
    <w:rsid w:val="0E0908E1"/>
    <w:rsid w:val="0E3E9DE7"/>
    <w:rsid w:val="0E5F50EE"/>
    <w:rsid w:val="0EA1F590"/>
    <w:rsid w:val="0EB08761"/>
    <w:rsid w:val="0ED28AD3"/>
    <w:rsid w:val="0ED9DF8D"/>
    <w:rsid w:val="0FD1B774"/>
    <w:rsid w:val="0FE4DB9D"/>
    <w:rsid w:val="0FF08868"/>
    <w:rsid w:val="0FFD2520"/>
    <w:rsid w:val="11625F7F"/>
    <w:rsid w:val="11709899"/>
    <w:rsid w:val="11832E96"/>
    <w:rsid w:val="1196F1B0"/>
    <w:rsid w:val="11E05BCE"/>
    <w:rsid w:val="122AA8AC"/>
    <w:rsid w:val="12639365"/>
    <w:rsid w:val="1289820B"/>
    <w:rsid w:val="131B9D85"/>
    <w:rsid w:val="138DFAA6"/>
    <w:rsid w:val="1510A2AA"/>
    <w:rsid w:val="158B6B23"/>
    <w:rsid w:val="15CFE81A"/>
    <w:rsid w:val="160C11BF"/>
    <w:rsid w:val="166C66A4"/>
    <w:rsid w:val="17BF8C08"/>
    <w:rsid w:val="188B2927"/>
    <w:rsid w:val="1899EA30"/>
    <w:rsid w:val="18E1C8F1"/>
    <w:rsid w:val="191EDE55"/>
    <w:rsid w:val="195B5C69"/>
    <w:rsid w:val="1975181E"/>
    <w:rsid w:val="1982594C"/>
    <w:rsid w:val="198F14D1"/>
    <w:rsid w:val="1997D9ED"/>
    <w:rsid w:val="19B5A6E4"/>
    <w:rsid w:val="1A11BC1D"/>
    <w:rsid w:val="1A347D48"/>
    <w:rsid w:val="1A6709AD"/>
    <w:rsid w:val="1AD635A9"/>
    <w:rsid w:val="1CC19C09"/>
    <w:rsid w:val="1D295CD4"/>
    <w:rsid w:val="1D4CDE3C"/>
    <w:rsid w:val="1D6D5B53"/>
    <w:rsid w:val="1F0400B5"/>
    <w:rsid w:val="1F7FCB63"/>
    <w:rsid w:val="1FCA9DED"/>
    <w:rsid w:val="203E10C5"/>
    <w:rsid w:val="20688929"/>
    <w:rsid w:val="206A1795"/>
    <w:rsid w:val="21471844"/>
    <w:rsid w:val="215BBAEC"/>
    <w:rsid w:val="2197E96A"/>
    <w:rsid w:val="2240CC76"/>
    <w:rsid w:val="22D8E683"/>
    <w:rsid w:val="22DA72FC"/>
    <w:rsid w:val="23023EAF"/>
    <w:rsid w:val="23C52192"/>
    <w:rsid w:val="23DC9CD7"/>
    <w:rsid w:val="24662513"/>
    <w:rsid w:val="253D0211"/>
    <w:rsid w:val="25786D38"/>
    <w:rsid w:val="26C920B1"/>
    <w:rsid w:val="27CC7458"/>
    <w:rsid w:val="27EF48B2"/>
    <w:rsid w:val="2885C1EE"/>
    <w:rsid w:val="298E8F28"/>
    <w:rsid w:val="2A1BE42E"/>
    <w:rsid w:val="2A4BDE5B"/>
    <w:rsid w:val="2A5EA2AB"/>
    <w:rsid w:val="2AB5D6ED"/>
    <w:rsid w:val="2AD56697"/>
    <w:rsid w:val="2C0060AB"/>
    <w:rsid w:val="2C7136F8"/>
    <w:rsid w:val="2CA920F5"/>
    <w:rsid w:val="2D52DB7B"/>
    <w:rsid w:val="2D54B4E9"/>
    <w:rsid w:val="2DF90B4F"/>
    <w:rsid w:val="2E3D9C9C"/>
    <w:rsid w:val="2E5B0A29"/>
    <w:rsid w:val="2ED59640"/>
    <w:rsid w:val="2F00FC22"/>
    <w:rsid w:val="2F6B8230"/>
    <w:rsid w:val="2FFCF679"/>
    <w:rsid w:val="3087E291"/>
    <w:rsid w:val="31B4023E"/>
    <w:rsid w:val="31E63557"/>
    <w:rsid w:val="32405474"/>
    <w:rsid w:val="32599526"/>
    <w:rsid w:val="327BEA88"/>
    <w:rsid w:val="32838820"/>
    <w:rsid w:val="3314988B"/>
    <w:rsid w:val="33204FFF"/>
    <w:rsid w:val="333789BB"/>
    <w:rsid w:val="33B10D21"/>
    <w:rsid w:val="33CAEE77"/>
    <w:rsid w:val="347F218F"/>
    <w:rsid w:val="34AE00B0"/>
    <w:rsid w:val="35D3CEDE"/>
    <w:rsid w:val="35E4FDF3"/>
    <w:rsid w:val="36396BE8"/>
    <w:rsid w:val="36CEC414"/>
    <w:rsid w:val="375D81E3"/>
    <w:rsid w:val="379CBE5C"/>
    <w:rsid w:val="3804F59B"/>
    <w:rsid w:val="38F5F0D2"/>
    <w:rsid w:val="38F95244"/>
    <w:rsid w:val="3919C27A"/>
    <w:rsid w:val="39BF1423"/>
    <w:rsid w:val="3A253FC2"/>
    <w:rsid w:val="3A9E9E0C"/>
    <w:rsid w:val="3AFE0EAE"/>
    <w:rsid w:val="3B78E76E"/>
    <w:rsid w:val="3C58596F"/>
    <w:rsid w:val="3CAE09E8"/>
    <w:rsid w:val="3D14B7CF"/>
    <w:rsid w:val="3E5B1520"/>
    <w:rsid w:val="3E5BADEC"/>
    <w:rsid w:val="3E6302A6"/>
    <w:rsid w:val="3E6720A6"/>
    <w:rsid w:val="3E6FD01B"/>
    <w:rsid w:val="3E775918"/>
    <w:rsid w:val="3EB08830"/>
    <w:rsid w:val="3EDAED72"/>
    <w:rsid w:val="3EFC26BC"/>
    <w:rsid w:val="3F478359"/>
    <w:rsid w:val="3F6B6ED8"/>
    <w:rsid w:val="3FB72817"/>
    <w:rsid w:val="3FC654A0"/>
    <w:rsid w:val="3FF77E4D"/>
    <w:rsid w:val="40100DDE"/>
    <w:rsid w:val="40124AF5"/>
    <w:rsid w:val="40866911"/>
    <w:rsid w:val="410102B7"/>
    <w:rsid w:val="41A7279A"/>
    <w:rsid w:val="42094853"/>
    <w:rsid w:val="42ED4AD5"/>
    <w:rsid w:val="43064386"/>
    <w:rsid w:val="4315F6B2"/>
    <w:rsid w:val="432E8643"/>
    <w:rsid w:val="4369B010"/>
    <w:rsid w:val="43C0D0D0"/>
    <w:rsid w:val="44110E5F"/>
    <w:rsid w:val="442F997A"/>
    <w:rsid w:val="444090FF"/>
    <w:rsid w:val="446B58DA"/>
    <w:rsid w:val="45136648"/>
    <w:rsid w:val="45782716"/>
    <w:rsid w:val="45D473DA"/>
    <w:rsid w:val="45D850FE"/>
    <w:rsid w:val="45DFC2D2"/>
    <w:rsid w:val="45FF3BB5"/>
    <w:rsid w:val="46B26FE2"/>
    <w:rsid w:val="46F14BBA"/>
    <w:rsid w:val="477831C1"/>
    <w:rsid w:val="4809E4EC"/>
    <w:rsid w:val="489FE270"/>
    <w:rsid w:val="49105C61"/>
    <w:rsid w:val="4911FE51"/>
    <w:rsid w:val="492E92B8"/>
    <w:rsid w:val="49A5B54D"/>
    <w:rsid w:val="49E08648"/>
    <w:rsid w:val="4A294220"/>
    <w:rsid w:val="4A407860"/>
    <w:rsid w:val="4A470100"/>
    <w:rsid w:val="4ADA9A5E"/>
    <w:rsid w:val="4BDF2173"/>
    <w:rsid w:val="4C28EC0C"/>
    <w:rsid w:val="4C35DBF9"/>
    <w:rsid w:val="4C766ABF"/>
    <w:rsid w:val="4CD56889"/>
    <w:rsid w:val="4D7302E1"/>
    <w:rsid w:val="4D781922"/>
    <w:rsid w:val="4D81AF6F"/>
    <w:rsid w:val="4E40A809"/>
    <w:rsid w:val="4E57F95A"/>
    <w:rsid w:val="4ED77AA0"/>
    <w:rsid w:val="4F6423AF"/>
    <w:rsid w:val="4FAE0B81"/>
    <w:rsid w:val="500380B7"/>
    <w:rsid w:val="500D094B"/>
    <w:rsid w:val="509E7F0D"/>
    <w:rsid w:val="50B29296"/>
    <w:rsid w:val="5105EBAA"/>
    <w:rsid w:val="5130B385"/>
    <w:rsid w:val="517848CB"/>
    <w:rsid w:val="52817357"/>
    <w:rsid w:val="5337AC04"/>
    <w:rsid w:val="5390F2EA"/>
    <w:rsid w:val="5415665B"/>
    <w:rsid w:val="541AD594"/>
    <w:rsid w:val="5429575B"/>
    <w:rsid w:val="548A3A4F"/>
    <w:rsid w:val="54B9DE5F"/>
    <w:rsid w:val="54C2FC65"/>
    <w:rsid w:val="54DA81D7"/>
    <w:rsid w:val="54E5950F"/>
    <w:rsid w:val="54E867F4"/>
    <w:rsid w:val="54FA7A0E"/>
    <w:rsid w:val="54FC6552"/>
    <w:rsid w:val="55298A12"/>
    <w:rsid w:val="556CDB5C"/>
    <w:rsid w:val="559301F3"/>
    <w:rsid w:val="55B6A5F5"/>
    <w:rsid w:val="56667505"/>
    <w:rsid w:val="573F7CE1"/>
    <w:rsid w:val="578E558B"/>
    <w:rsid w:val="57B91D66"/>
    <w:rsid w:val="5833FA02"/>
    <w:rsid w:val="5842C8E6"/>
    <w:rsid w:val="5965ED7D"/>
    <w:rsid w:val="597B1ADA"/>
    <w:rsid w:val="59B6AE18"/>
    <w:rsid w:val="5A4EE2F4"/>
    <w:rsid w:val="5A5930A7"/>
    <w:rsid w:val="5A7D4B50"/>
    <w:rsid w:val="5AA560A7"/>
    <w:rsid w:val="5B3DF259"/>
    <w:rsid w:val="5C3F3790"/>
    <w:rsid w:val="5C8C8E89"/>
    <w:rsid w:val="5CA4F866"/>
    <w:rsid w:val="5CD7CC0E"/>
    <w:rsid w:val="5D962A72"/>
    <w:rsid w:val="5DC9B6E7"/>
    <w:rsid w:val="5E4590FC"/>
    <w:rsid w:val="5E9469A6"/>
    <w:rsid w:val="5F276447"/>
    <w:rsid w:val="5FC42F4B"/>
    <w:rsid w:val="6067654E"/>
    <w:rsid w:val="60D76181"/>
    <w:rsid w:val="61165E5C"/>
    <w:rsid w:val="615FFFAC"/>
    <w:rsid w:val="61613B62"/>
    <w:rsid w:val="61E2D1C0"/>
    <w:rsid w:val="6404D78C"/>
    <w:rsid w:val="64595607"/>
    <w:rsid w:val="64647162"/>
    <w:rsid w:val="6482C000"/>
    <w:rsid w:val="64A40E72"/>
    <w:rsid w:val="655912A7"/>
    <w:rsid w:val="65D92654"/>
    <w:rsid w:val="669A5C1F"/>
    <w:rsid w:val="66A23C9E"/>
    <w:rsid w:val="671D8B18"/>
    <w:rsid w:val="6774F6B5"/>
    <w:rsid w:val="678413FC"/>
    <w:rsid w:val="67B94C6F"/>
    <w:rsid w:val="67BE10F1"/>
    <w:rsid w:val="68694D00"/>
    <w:rsid w:val="68D25271"/>
    <w:rsid w:val="68D848AF"/>
    <w:rsid w:val="6910C716"/>
    <w:rsid w:val="69AA2AB7"/>
    <w:rsid w:val="6A1AE44C"/>
    <w:rsid w:val="6A340CA9"/>
    <w:rsid w:val="6A53EEE0"/>
    <w:rsid w:val="6A57F2D7"/>
    <w:rsid w:val="6AC154BE"/>
    <w:rsid w:val="6B202A17"/>
    <w:rsid w:val="6B286891"/>
    <w:rsid w:val="6BE1C597"/>
    <w:rsid w:val="6C27EAC1"/>
    <w:rsid w:val="6C87C0C8"/>
    <w:rsid w:val="6CF301D7"/>
    <w:rsid w:val="6D52850E"/>
    <w:rsid w:val="6D64248C"/>
    <w:rsid w:val="6D70819F"/>
    <w:rsid w:val="6D7D4CE9"/>
    <w:rsid w:val="6D999854"/>
    <w:rsid w:val="6DC3BB22"/>
    <w:rsid w:val="6EEA66E8"/>
    <w:rsid w:val="6F191D4A"/>
    <w:rsid w:val="700BD566"/>
    <w:rsid w:val="712AAB5A"/>
    <w:rsid w:val="7225F631"/>
    <w:rsid w:val="72486595"/>
    <w:rsid w:val="724C0F33"/>
    <w:rsid w:val="72A66E85"/>
    <w:rsid w:val="72B7A95C"/>
    <w:rsid w:val="73413198"/>
    <w:rsid w:val="740A54E9"/>
    <w:rsid w:val="74423EE6"/>
    <w:rsid w:val="7479AA50"/>
    <w:rsid w:val="74DD01F9"/>
    <w:rsid w:val="75335BF8"/>
    <w:rsid w:val="7550FD4C"/>
    <w:rsid w:val="755B35EE"/>
    <w:rsid w:val="75B3DEF7"/>
    <w:rsid w:val="760C9E8B"/>
    <w:rsid w:val="7660F3F2"/>
    <w:rsid w:val="76988357"/>
    <w:rsid w:val="77242F2F"/>
    <w:rsid w:val="7739169E"/>
    <w:rsid w:val="776B7D97"/>
    <w:rsid w:val="77EF2267"/>
    <w:rsid w:val="782D36AE"/>
    <w:rsid w:val="78778E64"/>
    <w:rsid w:val="78E18769"/>
    <w:rsid w:val="79DF9C5E"/>
    <w:rsid w:val="7AAA2BB0"/>
    <w:rsid w:val="7AEA878A"/>
    <w:rsid w:val="7AFA3766"/>
    <w:rsid w:val="7B4C437D"/>
    <w:rsid w:val="7B72BE53"/>
    <w:rsid w:val="7BD2C22C"/>
    <w:rsid w:val="7C7964EA"/>
    <w:rsid w:val="7DA10BED"/>
    <w:rsid w:val="7DAEF641"/>
    <w:rsid w:val="7E3A0F02"/>
    <w:rsid w:val="7E6FE835"/>
    <w:rsid w:val="7EE3D62E"/>
    <w:rsid w:val="7FA33956"/>
    <w:rsid w:val="7FCAE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D2F1F"/>
  <w15:chartTrackingRefBased/>
  <w15:docId w15:val="{A322CB20-2BAD-469C-B840-B604E9267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FB7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thillsregion.org/regional-development/isothermal-rural-planning-organization-rp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long@frc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1813</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Toney</dc:creator>
  <cp:keywords/>
  <dc:description/>
  <cp:lastModifiedBy>Magnolia Long</cp:lastModifiedBy>
  <cp:revision>9</cp:revision>
  <dcterms:created xsi:type="dcterms:W3CDTF">2026-02-12T13:14:00Z</dcterms:created>
  <dcterms:modified xsi:type="dcterms:W3CDTF">2026-02-19T15:51:00Z</dcterms:modified>
</cp:coreProperties>
</file>